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8B" w:rsidRDefault="004D628B" w:rsidP="004D628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DEADLINE APPROACHES FOR ANTIQUE FIREARMS LAW CHANGE</w:t>
      </w:r>
    </w:p>
    <w:p w:rsidR="004D628B" w:rsidRDefault="004D628B" w:rsidP="004D628B">
      <w:pPr>
        <w:rPr>
          <w:rFonts w:ascii="Arial" w:hAnsi="Arial" w:cs="Arial"/>
          <w:b/>
          <w:bCs/>
          <w:sz w:val="24"/>
          <w:szCs w:val="24"/>
        </w:rPr>
      </w:pPr>
    </w:p>
    <w:p w:rsidR="004D628B" w:rsidRDefault="004D628B" w:rsidP="004D628B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From 22 September, owners of certain firearms previously regarded as antique will require a Firearm Certificate to retain possession</w:t>
      </w:r>
    </w:p>
    <w:p w:rsidR="00334306" w:rsidRPr="00334306" w:rsidRDefault="00334306" w:rsidP="004D628B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34306">
        <w:rPr>
          <w:rFonts w:ascii="Arial" w:hAnsi="Arial" w:cs="Arial"/>
          <w:b/>
          <w:sz w:val="24"/>
          <w:szCs w:val="24"/>
        </w:rPr>
        <w:t xml:space="preserve">There are two important relaxations of the normal firearm certificate legislation in respect of former antique firearms.  The owner </w:t>
      </w:r>
      <w:r>
        <w:rPr>
          <w:rFonts w:ascii="Arial" w:hAnsi="Arial" w:cs="Arial"/>
          <w:b/>
          <w:sz w:val="24"/>
          <w:szCs w:val="24"/>
        </w:rPr>
        <w:t>will</w:t>
      </w:r>
      <w:r w:rsidRPr="00334306">
        <w:rPr>
          <w:rFonts w:ascii="Arial" w:hAnsi="Arial" w:cs="Arial"/>
          <w:b/>
          <w:sz w:val="24"/>
          <w:szCs w:val="24"/>
        </w:rPr>
        <w:t xml:space="preserve"> not need to demonstrate good reason for possession, and a former antique firearm may be held on a </w:t>
      </w:r>
      <w:r>
        <w:rPr>
          <w:rFonts w:ascii="Arial" w:hAnsi="Arial" w:cs="Arial"/>
          <w:b/>
          <w:sz w:val="24"/>
          <w:szCs w:val="24"/>
        </w:rPr>
        <w:t>C</w:t>
      </w:r>
      <w:r w:rsidRPr="00334306">
        <w:rPr>
          <w:rFonts w:ascii="Arial" w:hAnsi="Arial" w:cs="Arial"/>
          <w:b/>
          <w:sz w:val="24"/>
          <w:szCs w:val="24"/>
        </w:rPr>
        <w:t>ertificate without authority under Section 5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this year, the Government changed the law to introduce for the first time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a legal definition of antique firearms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Wednesday 22 September 2021, owners will require authorisation to possess a firearm that no longer meets the criteria</w:t>
      </w:r>
      <w:r w:rsidR="004E3B80">
        <w:rPr>
          <w:rFonts w:ascii="Arial" w:hAnsi="Arial" w:cs="Arial"/>
          <w:sz w:val="24"/>
          <w:szCs w:val="24"/>
        </w:rPr>
        <w:t xml:space="preserve"> in the legal definition</w:t>
      </w:r>
      <w:r>
        <w:rPr>
          <w:rFonts w:ascii="Arial" w:hAnsi="Arial" w:cs="Arial"/>
          <w:sz w:val="24"/>
          <w:szCs w:val="24"/>
        </w:rPr>
        <w:t>.  In practical terms</w:t>
      </w:r>
      <w:r w:rsidR="00D03A29">
        <w:rPr>
          <w:rFonts w:ascii="Arial" w:hAnsi="Arial" w:cs="Arial"/>
          <w:sz w:val="24"/>
          <w:szCs w:val="24"/>
        </w:rPr>
        <w:t xml:space="preserve"> for legitimate owners</w:t>
      </w:r>
      <w:r>
        <w:rPr>
          <w:rFonts w:ascii="Arial" w:hAnsi="Arial" w:cs="Arial"/>
          <w:sz w:val="24"/>
          <w:szCs w:val="24"/>
        </w:rPr>
        <w:t>, the formalisation of the definition of an antique is of less significance tha</w:t>
      </w:r>
      <w:r w:rsidR="009435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removal of seven types from the list of “</w:t>
      </w:r>
      <w:r w:rsidR="00D03A29">
        <w:rPr>
          <w:rFonts w:ascii="Arial" w:hAnsi="Arial" w:cs="Arial"/>
          <w:sz w:val="24"/>
          <w:szCs w:val="24"/>
        </w:rPr>
        <w:t>obsolet</w:t>
      </w:r>
      <w:r>
        <w:rPr>
          <w:rFonts w:ascii="Arial" w:hAnsi="Arial" w:cs="Arial"/>
          <w:sz w:val="24"/>
          <w:szCs w:val="24"/>
        </w:rPr>
        <w:t>e cartridges”, which list was a part of Home Office Guidanc</w:t>
      </w:r>
      <w:r w:rsidR="009435C9">
        <w:rPr>
          <w:rFonts w:ascii="Arial" w:hAnsi="Arial" w:cs="Arial"/>
          <w:sz w:val="24"/>
          <w:szCs w:val="24"/>
        </w:rPr>
        <w:t xml:space="preserve">e, but is now of legal status under the </w:t>
      </w:r>
      <w:hyperlink r:id="rId6" w:history="1">
        <w:r w:rsidR="009435C9" w:rsidRPr="004E3B80">
          <w:rPr>
            <w:rStyle w:val="Hyperlink"/>
            <w:rFonts w:ascii="Arial" w:hAnsi="Arial" w:cs="Arial"/>
            <w:sz w:val="24"/>
            <w:szCs w:val="24"/>
          </w:rPr>
          <w:t>Antique Firearms Regulations 2021</w:t>
        </w:r>
      </w:hyperlink>
      <w:r>
        <w:rPr>
          <w:rFonts w:ascii="Arial" w:hAnsi="Arial" w:cs="Arial"/>
          <w:sz w:val="24"/>
          <w:szCs w:val="24"/>
        </w:rPr>
        <w:t xml:space="preserve">.  Firearms </w:t>
      </w:r>
      <w:r w:rsidR="00D03A29">
        <w:rPr>
          <w:rFonts w:ascii="Arial" w:hAnsi="Arial" w:cs="Arial"/>
          <w:sz w:val="24"/>
          <w:szCs w:val="24"/>
        </w:rPr>
        <w:t>chambered for</w:t>
      </w:r>
      <w:r>
        <w:rPr>
          <w:rFonts w:ascii="Arial" w:hAnsi="Arial" w:cs="Arial"/>
          <w:sz w:val="24"/>
          <w:szCs w:val="24"/>
        </w:rPr>
        <w:t xml:space="preserve"> </w:t>
      </w:r>
      <w:r w:rsidR="009435C9">
        <w:rPr>
          <w:rFonts w:ascii="Arial" w:hAnsi="Arial" w:cs="Arial"/>
          <w:sz w:val="24"/>
          <w:szCs w:val="24"/>
        </w:rPr>
        <w:t xml:space="preserve">any of those seven </w:t>
      </w:r>
      <w:proofErr w:type="gramStart"/>
      <w:r>
        <w:rPr>
          <w:rFonts w:ascii="Arial" w:hAnsi="Arial" w:cs="Arial"/>
          <w:sz w:val="24"/>
          <w:szCs w:val="24"/>
        </w:rPr>
        <w:t>cartridges</w:t>
      </w:r>
      <w:r w:rsidR="00D03A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were previously held as antiques without a Certificate</w:t>
      </w:r>
      <w:r w:rsidR="009435C9">
        <w:rPr>
          <w:rFonts w:ascii="Arial" w:hAnsi="Arial" w:cs="Arial"/>
          <w:sz w:val="24"/>
          <w:szCs w:val="24"/>
        </w:rPr>
        <w:t xml:space="preserve"> (“former antiques”)</w:t>
      </w:r>
      <w:r w:rsidR="00D03A29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will now fall within the control of S1 and S5 Firearms Act</w:t>
      </w:r>
      <w:r w:rsidR="00D03A29">
        <w:rPr>
          <w:rFonts w:ascii="Arial" w:hAnsi="Arial" w:cs="Arial"/>
          <w:sz w:val="24"/>
          <w:szCs w:val="24"/>
        </w:rPr>
        <w:t xml:space="preserve"> 1968</w:t>
      </w:r>
      <w:r>
        <w:rPr>
          <w:rFonts w:ascii="Arial" w:hAnsi="Arial" w:cs="Arial"/>
          <w:sz w:val="24"/>
          <w:szCs w:val="24"/>
        </w:rPr>
        <w:t>.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pStyle w:val="BodyText"/>
        <w:spacing w:line="240" w:lineRule="auto"/>
      </w:pPr>
      <w:r>
        <w:t xml:space="preserve">The seven cartridges which previously appeared in </w:t>
      </w:r>
      <w:r w:rsidR="00D03A29">
        <w:t>G</w:t>
      </w:r>
      <w:r>
        <w:t>uidance but which have been omitted from the Regulations and which therefore require a licence to be legally</w:t>
      </w:r>
      <w:r w:rsidR="00C4661B">
        <w:t xml:space="preserve"> </w:t>
      </w:r>
      <w:r>
        <w:t>held from 22 September are: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.320 British (also known as .320 Revolver CF, short or long)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.41 Colt (short or long)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.44 Smith and Wesson Russian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.442 Revolver (also known as .44 Webley)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9.4mm Dutch Revolver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10.6mm German Ordnance Revolver</w:t>
      </w:r>
    </w:p>
    <w:p w:rsidR="004D628B" w:rsidRDefault="004D628B" w:rsidP="004D628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11mm French Ordnance Revolver M1873 (Army)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law on antique firearms changed on 22 March but owners were given six months to decide whether to apply for a </w:t>
      </w:r>
      <w:r w:rsidR="003051D0">
        <w:rPr>
          <w:rFonts w:ascii="Arial" w:hAnsi="Arial" w:cs="Arial"/>
          <w:sz w:val="24"/>
          <w:szCs w:val="24"/>
        </w:rPr>
        <w:t>Firearm Certificate</w:t>
      </w:r>
      <w:r>
        <w:rPr>
          <w:rFonts w:ascii="Arial" w:hAnsi="Arial" w:cs="Arial"/>
          <w:sz w:val="24"/>
          <w:szCs w:val="24"/>
        </w:rPr>
        <w:t xml:space="preserve"> if they wanted to keep their </w:t>
      </w:r>
      <w:r w:rsidR="009435C9">
        <w:rPr>
          <w:rFonts w:ascii="Arial" w:hAnsi="Arial" w:cs="Arial"/>
          <w:sz w:val="24"/>
          <w:szCs w:val="24"/>
        </w:rPr>
        <w:t xml:space="preserve">former antique </w:t>
      </w:r>
      <w:r>
        <w:rPr>
          <w:rFonts w:ascii="Arial" w:hAnsi="Arial" w:cs="Arial"/>
          <w:sz w:val="24"/>
          <w:szCs w:val="24"/>
        </w:rPr>
        <w:t>firearm, or to otherwise dispose of it (for example, surrendering them to the police or selling them).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825128" w:rsidP="004D628B">
      <w:pPr>
        <w:rPr>
          <w:rFonts w:ascii="Arial" w:hAnsi="Arial" w:cs="Arial"/>
          <w:sz w:val="24"/>
          <w:szCs w:val="24"/>
        </w:rPr>
      </w:pPr>
      <w:hyperlink r:id="rId7" w:history="1">
        <w:r w:rsidR="004D628B" w:rsidRPr="00334306">
          <w:rPr>
            <w:rStyle w:val="Hyperlink"/>
            <w:rFonts w:ascii="Arial" w:hAnsi="Arial" w:cs="Arial"/>
            <w:sz w:val="24"/>
            <w:szCs w:val="24"/>
          </w:rPr>
          <w:t>Section 58</w:t>
        </w:r>
        <w:r w:rsidR="00334306" w:rsidRPr="00334306">
          <w:rPr>
            <w:rStyle w:val="Hyperlink"/>
            <w:rFonts w:ascii="Arial" w:hAnsi="Arial" w:cs="Arial"/>
            <w:sz w:val="24"/>
            <w:szCs w:val="24"/>
          </w:rPr>
          <w:t>(2-2H)</w:t>
        </w:r>
        <w:r w:rsidR="004D628B" w:rsidRPr="00334306">
          <w:rPr>
            <w:rStyle w:val="Hyperlink"/>
            <w:rFonts w:ascii="Arial" w:hAnsi="Arial" w:cs="Arial"/>
            <w:sz w:val="24"/>
            <w:szCs w:val="24"/>
          </w:rPr>
          <w:t xml:space="preserve"> of the Firearms Act 1968</w:t>
        </w:r>
      </w:hyperlink>
      <w:r w:rsidR="004D628B">
        <w:rPr>
          <w:rFonts w:ascii="Arial" w:hAnsi="Arial" w:cs="Arial"/>
          <w:sz w:val="24"/>
          <w:szCs w:val="24"/>
        </w:rPr>
        <w:t xml:space="preserve"> and the </w:t>
      </w:r>
      <w:hyperlink r:id="rId8" w:history="1">
        <w:r w:rsidR="004D628B" w:rsidRPr="00334306">
          <w:rPr>
            <w:rStyle w:val="Hyperlink"/>
            <w:rFonts w:ascii="Arial" w:hAnsi="Arial" w:cs="Arial"/>
            <w:sz w:val="24"/>
            <w:szCs w:val="24"/>
          </w:rPr>
          <w:t>Antique Firearms Regulations 2021</w:t>
        </w:r>
      </w:hyperlink>
      <w:r w:rsidR="004D628B">
        <w:rPr>
          <w:rFonts w:ascii="Arial" w:hAnsi="Arial" w:cs="Arial"/>
          <w:sz w:val="24"/>
          <w:szCs w:val="24"/>
        </w:rPr>
        <w:t xml:space="preserve"> set out in law which firearms can be regarde</w:t>
      </w:r>
      <w:r w:rsidR="00334306">
        <w:rPr>
          <w:rFonts w:ascii="Arial" w:hAnsi="Arial" w:cs="Arial"/>
          <w:sz w:val="24"/>
          <w:szCs w:val="24"/>
        </w:rPr>
        <w:t>d as antique, and therefore are exempt</w:t>
      </w:r>
      <w:r w:rsidR="004D628B">
        <w:rPr>
          <w:rFonts w:ascii="Arial" w:hAnsi="Arial" w:cs="Arial"/>
          <w:sz w:val="24"/>
          <w:szCs w:val="24"/>
        </w:rPr>
        <w:t xml:space="preserve"> from licensing. The definition closely follows the model used previously in </w:t>
      </w:r>
      <w:hyperlink r:id="rId9" w:history="1">
        <w:r w:rsidR="004D628B" w:rsidRPr="00334306">
          <w:rPr>
            <w:rStyle w:val="Hyperlink"/>
            <w:rFonts w:ascii="Arial" w:hAnsi="Arial" w:cs="Arial"/>
            <w:sz w:val="24"/>
            <w:szCs w:val="24"/>
          </w:rPr>
          <w:t>Home Office guidance</w:t>
        </w:r>
      </w:hyperlink>
      <w:r w:rsidR="004D628B">
        <w:rPr>
          <w:rFonts w:ascii="Arial" w:hAnsi="Arial" w:cs="Arial"/>
          <w:sz w:val="24"/>
          <w:szCs w:val="24"/>
        </w:rPr>
        <w:t xml:space="preserve"> </w:t>
      </w:r>
      <w:r w:rsidR="00334306">
        <w:rPr>
          <w:rFonts w:ascii="Arial" w:hAnsi="Arial" w:cs="Arial"/>
          <w:sz w:val="24"/>
          <w:szCs w:val="24"/>
        </w:rPr>
        <w:t xml:space="preserve"> (see chapters 8 &amp; 9 and </w:t>
      </w:r>
      <w:r w:rsidR="003051D0">
        <w:rPr>
          <w:rFonts w:ascii="Arial" w:hAnsi="Arial" w:cs="Arial"/>
          <w:sz w:val="24"/>
          <w:szCs w:val="24"/>
        </w:rPr>
        <w:t>a</w:t>
      </w:r>
      <w:r w:rsidR="00334306">
        <w:rPr>
          <w:rFonts w:ascii="Arial" w:hAnsi="Arial" w:cs="Arial"/>
          <w:sz w:val="24"/>
          <w:szCs w:val="24"/>
        </w:rPr>
        <w:t xml:space="preserve">ppendix 5) </w:t>
      </w:r>
      <w:r w:rsidR="004D628B">
        <w:rPr>
          <w:rFonts w:ascii="Arial" w:hAnsi="Arial" w:cs="Arial"/>
          <w:sz w:val="24"/>
          <w:szCs w:val="24"/>
        </w:rPr>
        <w:t xml:space="preserve">and will therefore be familiar to collectors, dealers and museums. 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regarded as an antique, a firearm must: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zh-TW"/>
        </w:rPr>
      </w:pPr>
      <w:r>
        <w:rPr>
          <w:rFonts w:ascii="Arial" w:eastAsia="Times New Roman" w:hAnsi="Arial" w:cs="Arial"/>
          <w:sz w:val="24"/>
          <w:szCs w:val="24"/>
          <w:lang w:eastAsia="zh-TW"/>
        </w:rPr>
        <w:t xml:space="preserve">have been manufactured before 1 September 1939, </w:t>
      </w:r>
      <w:r>
        <w:rPr>
          <w:rFonts w:ascii="Arial" w:eastAsia="Times New Roman" w:hAnsi="Arial" w:cs="Arial"/>
          <w:sz w:val="24"/>
          <w:szCs w:val="24"/>
          <w:u w:val="single"/>
          <w:lang w:eastAsia="zh-TW"/>
        </w:rPr>
        <w:t>and</w:t>
      </w:r>
    </w:p>
    <w:p w:rsidR="004D628B" w:rsidRDefault="004D628B" w:rsidP="004D628B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zh-TW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TW"/>
        </w:rPr>
        <w:t xml:space="preserve">either </w:t>
      </w:r>
      <w:r>
        <w:rPr>
          <w:rFonts w:ascii="Arial" w:eastAsia="Times New Roman" w:hAnsi="Arial" w:cs="Arial"/>
          <w:sz w:val="24"/>
          <w:szCs w:val="24"/>
          <w:lang w:eastAsia="zh-TW"/>
        </w:rPr>
        <w:t xml:space="preserve">have a propulsion system of a type specified in the 2021 Regulations (for example, muzzle loaders, pin-fire or needle-fire) </w:t>
      </w:r>
      <w:r>
        <w:rPr>
          <w:rFonts w:ascii="Arial" w:eastAsia="Times New Roman" w:hAnsi="Arial" w:cs="Arial"/>
          <w:sz w:val="24"/>
          <w:szCs w:val="24"/>
          <w:u w:val="single"/>
          <w:lang w:eastAsia="zh-TW"/>
        </w:rPr>
        <w:t>or</w:t>
      </w:r>
      <w:r>
        <w:rPr>
          <w:rFonts w:ascii="Arial" w:eastAsia="Times New Roman" w:hAnsi="Arial" w:cs="Arial"/>
          <w:sz w:val="24"/>
          <w:szCs w:val="24"/>
          <w:lang w:eastAsia="zh-TW"/>
        </w:rPr>
        <w:t xml:space="preserve"> the chamber(s) are </w:t>
      </w:r>
      <w:r>
        <w:rPr>
          <w:rFonts w:ascii="Arial" w:eastAsia="Times New Roman" w:hAnsi="Arial" w:cs="Arial"/>
          <w:sz w:val="24"/>
          <w:szCs w:val="24"/>
          <w:lang w:eastAsia="zh-TW"/>
        </w:rPr>
        <w:lastRenderedPageBreak/>
        <w:t xml:space="preserve">those that the firearm had when it was manufactured (or a replacement that is identical in all material respects) and it is chambered for use with a cartridge specified in the 2021 Regulations, </w:t>
      </w:r>
      <w:r>
        <w:rPr>
          <w:rFonts w:ascii="Arial" w:eastAsia="Times New Roman" w:hAnsi="Arial" w:cs="Arial"/>
          <w:sz w:val="24"/>
          <w:szCs w:val="24"/>
          <w:u w:val="single"/>
          <w:lang w:eastAsia="zh-TW"/>
        </w:rPr>
        <w:t>and</w:t>
      </w:r>
    </w:p>
    <w:p w:rsidR="004D628B" w:rsidRDefault="004D628B" w:rsidP="004D628B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zh-TW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TW"/>
        </w:rPr>
        <w:t>be</w:t>
      </w:r>
      <w:proofErr w:type="gramEnd"/>
      <w:r>
        <w:rPr>
          <w:rFonts w:ascii="Arial" w:eastAsia="Times New Roman" w:hAnsi="Arial" w:cs="Arial"/>
          <w:sz w:val="24"/>
          <w:szCs w:val="24"/>
          <w:lang w:eastAsia="zh-TW"/>
        </w:rPr>
        <w:t xml:space="preserve"> sold, transferred, purchased, acquired or possessed as a curiosity or ornament. </w:t>
      </w:r>
    </w:p>
    <w:p w:rsidR="004D628B" w:rsidRDefault="004D628B" w:rsidP="004D628B">
      <w:pPr>
        <w:rPr>
          <w:rFonts w:ascii="Arial" w:hAnsi="Arial" w:cs="Arial"/>
          <w:sz w:val="24"/>
          <w:szCs w:val="24"/>
        </w:rPr>
      </w:pPr>
    </w:p>
    <w:p w:rsidR="004D628B" w:rsidRDefault="004D628B" w:rsidP="004D628B">
      <w:pPr>
        <w:pStyle w:val="BodyText"/>
        <w:spacing w:line="240" w:lineRule="auto"/>
      </w:pPr>
      <w:r>
        <w:t xml:space="preserve">People who possess </w:t>
      </w:r>
      <w:r w:rsidR="009435C9">
        <w:t xml:space="preserve">former antique </w:t>
      </w:r>
      <w:r>
        <w:t>firearms</w:t>
      </w:r>
      <w:r w:rsidR="009435C9">
        <w:t xml:space="preserve"> </w:t>
      </w:r>
      <w:r>
        <w:t>can apply to their local police firearms licensing departm</w:t>
      </w:r>
      <w:r w:rsidR="009435C9">
        <w:t xml:space="preserve">ent to retain them on a </w:t>
      </w:r>
      <w:r w:rsidR="003051D0">
        <w:t>Firearm Certificate</w:t>
      </w:r>
      <w:r>
        <w:t xml:space="preserve">.  Applications must be made before the transition period ends at 23:59 on 21 September 2021.  As long as a person has applied for a </w:t>
      </w:r>
      <w:r w:rsidR="003051D0">
        <w:t>Firearm Certificate</w:t>
      </w:r>
      <w:r>
        <w:t>, they will remain in lawful possession of their firearm even if their application remains outstanding or is the subject of an outstanding appeal when the transition period ends. </w:t>
      </w:r>
      <w:r w:rsidR="009435C9">
        <w:t xml:space="preserve"> </w:t>
      </w:r>
      <w:r>
        <w:t xml:space="preserve"> </w:t>
      </w:r>
    </w:p>
    <w:p w:rsidR="009435C9" w:rsidRDefault="009435C9" w:rsidP="004D628B">
      <w:pPr>
        <w:pStyle w:val="BodyText"/>
        <w:spacing w:line="240" w:lineRule="auto"/>
      </w:pPr>
      <w:r>
        <w:t>An application as above may be made to have the firearm added to an existing certificate</w:t>
      </w:r>
      <w:r w:rsidR="005D6BE9">
        <w:t xml:space="preserve"> by variation</w:t>
      </w:r>
      <w:r>
        <w:t xml:space="preserve"> or, if the owner does not have a certificate, to be entered on a new certificate granted for the purpose.  There are two important relaxations of the normal </w:t>
      </w:r>
      <w:r w:rsidR="003051D0">
        <w:t>firearm certificate</w:t>
      </w:r>
      <w:r>
        <w:t xml:space="preserve"> legislation in respect of former antique firearms.  The owner does not need to demonstrate good reason for possession, and a former antique firearm may be held on a </w:t>
      </w:r>
      <w:r w:rsidR="003051D0">
        <w:t>Firearm Certificate</w:t>
      </w:r>
      <w:r>
        <w:t xml:space="preserve"> without</w:t>
      </w:r>
      <w:r w:rsidR="00504EE1">
        <w:t xml:space="preserve"> authority under Section 5</w:t>
      </w:r>
      <w:r w:rsidR="004E3B80">
        <w:t xml:space="preserve"> if that would otherwise have been required. See </w:t>
      </w:r>
      <w:hyperlink r:id="rId10" w:history="1">
        <w:r w:rsidR="004E3B80" w:rsidRPr="004E3B80">
          <w:rPr>
            <w:rStyle w:val="Hyperlink"/>
          </w:rPr>
          <w:t>Section 126 Policing and Crime Act 2017</w:t>
        </w:r>
      </w:hyperlink>
      <w:r w:rsidR="004E3B80">
        <w:t>, at subsections 5-7.</w:t>
      </w:r>
    </w:p>
    <w:p w:rsidR="004D628B" w:rsidRDefault="004E3B80" w:rsidP="004D628B">
      <w:pPr>
        <w:pStyle w:val="BodyText"/>
        <w:spacing w:line="240" w:lineRule="auto"/>
      </w:pPr>
      <w:r>
        <w:t>Alternatively, s</w:t>
      </w:r>
      <w:r w:rsidR="004D628B">
        <w:t>hould a firearm meet the criteria for a historic handgun under section 7 of the Firearms (Amendment) Act 1997, the owner can</w:t>
      </w:r>
      <w:r>
        <w:t xml:space="preserve"> apply for a certificate on that</w:t>
      </w:r>
      <w:r w:rsidR="004D628B">
        <w:t xml:space="preserve"> basis.</w:t>
      </w:r>
      <w:r>
        <w:t xml:space="preserve">  In that case the good reason requirement to obtain a certificate would have to be met.</w:t>
      </w:r>
    </w:p>
    <w:p w:rsidR="004D628B" w:rsidRDefault="004D628B" w:rsidP="004D628B">
      <w:pPr>
        <w:pStyle w:val="BodyText"/>
        <w:spacing w:line="240" w:lineRule="auto"/>
      </w:pPr>
      <w:r>
        <w:t xml:space="preserve">If the owner of a </w:t>
      </w:r>
      <w:r w:rsidR="004E3B80">
        <w:t xml:space="preserve">former antique </w:t>
      </w:r>
      <w:r>
        <w:t>firearm chooses not to licence it, they will need to dispose of it before the transition period ends</w:t>
      </w:r>
      <w:r w:rsidR="00C4661B">
        <w:t xml:space="preserve">.  </w:t>
      </w:r>
      <w:r>
        <w:t xml:space="preserve">Disposal could include selling, exporting or deactivating the firearm, donating it to a museum or surrendering it to the police.  To enable this, </w:t>
      </w:r>
      <w:r w:rsidR="004E3B80">
        <w:t xml:space="preserve">during the transition period </w:t>
      </w:r>
      <w:r>
        <w:t>owners will be able to freely sell or transfer the firearm to another collector or to a museum without requiring a firearm certificate, section 5 authority or a museum firearms licence.  Owners can also sell or transfer the firearm to a dealer, but only one who is registered with the police and who has a section 5 authority.  In all cases, the new owner must then apply to the police for a firearm certificate or museum licence in respect of the firearm before the transition period ends.</w:t>
      </w:r>
    </w:p>
    <w:p w:rsidR="004D628B" w:rsidRDefault="004D628B" w:rsidP="004D628B">
      <w:pPr>
        <w:pStyle w:val="BodyText"/>
        <w:spacing w:line="240" w:lineRule="auto"/>
      </w:pPr>
      <w:r>
        <w:t xml:space="preserve">Dealers will be able to sell or transfer </w:t>
      </w:r>
      <w:r w:rsidR="004E3B80">
        <w:t>former antique</w:t>
      </w:r>
      <w:r>
        <w:t xml:space="preserve"> firearms, which they already own, before 23:59 on 21 September 2021 without being registered with the police and without holding a section 5 authority.  However, </w:t>
      </w:r>
      <w:r w:rsidR="004E3B80">
        <w:t xml:space="preserve">since March </w:t>
      </w:r>
      <w:r>
        <w:t>they need to be registered and hold a section 5 authority before they can purchase or acquire any such firearms.</w:t>
      </w:r>
    </w:p>
    <w:p w:rsidR="003051D0" w:rsidRDefault="003051D0" w:rsidP="003051D0">
      <w:pPr>
        <w:pStyle w:val="BodyText"/>
        <w:spacing w:line="240" w:lineRule="auto"/>
      </w:pPr>
      <w:r>
        <w:t xml:space="preserve">The list of obsolete cartridges published under the new Regulations does contain about twenty rifle cartridges that </w:t>
      </w:r>
      <w:r w:rsidR="005D6BE9">
        <w:t>did not appear in the G</w:t>
      </w:r>
      <w:r>
        <w:t>uidance.  Firearms in those calibres that meet the other conditions to be antiques may now be held as such without a certificate.</w:t>
      </w:r>
    </w:p>
    <w:p w:rsidR="00C50188" w:rsidRDefault="004D628B" w:rsidP="003051D0">
      <w:pPr>
        <w:pStyle w:val="BodyText"/>
        <w:spacing w:line="240" w:lineRule="auto"/>
      </w:pPr>
      <w:r>
        <w:t xml:space="preserve">Further details about the changes to the law are set out in a HO circular: </w:t>
      </w:r>
      <w:hyperlink r:id="rId11" w:history="1">
        <w:r>
          <w:rPr>
            <w:rStyle w:val="Hyperlink"/>
          </w:rPr>
          <w:t>https://www.gov.uk/government/publications/circular-0012021-antique-firearms</w:t>
        </w:r>
      </w:hyperlink>
    </w:p>
    <w:sectPr w:rsidR="00C50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25B"/>
    <w:multiLevelType w:val="hybridMultilevel"/>
    <w:tmpl w:val="6D48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91F"/>
    <w:multiLevelType w:val="hybridMultilevel"/>
    <w:tmpl w:val="409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FC9"/>
    <w:multiLevelType w:val="hybridMultilevel"/>
    <w:tmpl w:val="1CE6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B"/>
    <w:rsid w:val="003051D0"/>
    <w:rsid w:val="00334306"/>
    <w:rsid w:val="004D628B"/>
    <w:rsid w:val="004E3B80"/>
    <w:rsid w:val="00504EE1"/>
    <w:rsid w:val="005D6BE9"/>
    <w:rsid w:val="00825128"/>
    <w:rsid w:val="009435C9"/>
    <w:rsid w:val="00C4661B"/>
    <w:rsid w:val="00C50188"/>
    <w:rsid w:val="00D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CD09-F7DF-42F7-A983-DA76EAE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8B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D628B"/>
    <w:pPr>
      <w:spacing w:after="240" w:line="288" w:lineRule="auto"/>
    </w:pPr>
    <w:rPr>
      <w:rFonts w:ascii="Arial" w:hAnsi="Arial" w:cs="Arial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4D628B"/>
    <w:rPr>
      <w:rFonts w:ascii="Arial" w:hAnsi="Arial" w:cs="Arial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4E3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1/215/contents/ma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1968/27/section/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si/2021/215/contents/made" TargetMode="External"/><Relationship Id="rId11" Type="http://schemas.openxmlformats.org/officeDocument/2006/relationships/hyperlink" Target="https://gbr01.safelinks.protection.outlook.com/?url=https%3A%2F%2Fwww.gov.uk%2Fgovernment%2Fpublications%2Fcircular-0012021-antique-firearms&amp;data=04%7C01%7CConor.Gaffey%40homeoffice.gov.uk%7C35277b5136c04aeae19608d971f167f8%7Cf24d93ecb2914192a08af182245945c2%7C0%7C0%7C637666103915178019%7CUnknown%7CTWFpbGZsb3d8eyJWIjoiMC4wLjAwMDAiLCJQIjoiV2luMzIiLCJBTiI6Ik1haWwiLCJXVCI6Mn0%3D%7C1000&amp;sdata=QgFF2x2BL5JZZ5pZpKmkzp9qW3%2FqeZrf128qd6kdM%2BI%3D&amp;reserved=0" TargetMode="External"/><Relationship Id="rId5" Type="http://schemas.openxmlformats.org/officeDocument/2006/relationships/hyperlink" Target="https://gbr01.safelinks.protection.outlook.com/?url=https%3A%2F%2Fwww.gov.uk%2Fgovernment%2Fnews%2Fgovernment-closes-antique-firearms-loopholes-to-protect-public&amp;data=04%7C01%7CConor.Gaffey%40homeoffice.gov.uk%7C35277b5136c04aeae19608d971f167f8%7Cf24d93ecb2914192a08af182245945c2%7C0%7C0%7C637666103915173037%7CUnknown%7CTWFpbGZsb3d8eyJWIjoiMC4wLjAwMDAiLCJQIjoiV2luMzIiLCJBTiI6Ik1haWwiLCJXVCI6Mn0%3D%7C1000&amp;sdata=pwWoo1SLPSGKaO6saZC6xR6GtmMeAWyRcvmjlRdX9Kc%3D&amp;reserved=0" TargetMode="External"/><Relationship Id="rId10" Type="http://schemas.openxmlformats.org/officeDocument/2006/relationships/hyperlink" Target="https://www.legislation.gov.uk/ukpga/2017/3/section/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firearms-law-guidance-to-the-police-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Robertson</dc:creator>
  <cp:keywords/>
  <dc:description/>
  <cp:lastModifiedBy>Georgina Thatcher</cp:lastModifiedBy>
  <cp:revision>2</cp:revision>
  <dcterms:created xsi:type="dcterms:W3CDTF">2021-09-10T11:34:00Z</dcterms:created>
  <dcterms:modified xsi:type="dcterms:W3CDTF">2021-09-10T11:34:00Z</dcterms:modified>
</cp:coreProperties>
</file>