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3" w:type="dxa"/>
        <w:tblLook w:val="0480" w:firstRow="0" w:lastRow="0" w:firstColumn="1" w:lastColumn="0" w:noHBand="0" w:noVBand="1"/>
      </w:tblPr>
      <w:tblGrid>
        <w:gridCol w:w="10173"/>
      </w:tblGrid>
      <w:tr w:rsidR="00BA7B0A" w:rsidRPr="005C05AA" w14:paraId="700DF749" w14:textId="77777777" w:rsidTr="0047013C">
        <w:trPr>
          <w:trHeight w:val="1031"/>
        </w:trPr>
        <w:tc>
          <w:tcPr>
            <w:tcW w:w="10173" w:type="dxa"/>
          </w:tcPr>
          <w:p w14:paraId="6E7C1AF7" w14:textId="77777777" w:rsidR="00BA7B0A" w:rsidRPr="005C05AA" w:rsidRDefault="00BA7B0A" w:rsidP="0082678C">
            <w:pPr>
              <w:pStyle w:val="Default"/>
              <w:jc w:val="center"/>
              <w:rPr>
                <w:rFonts w:ascii="Arial" w:eastAsia="Arial Unicode MS" w:hAnsi="Arial" w:cs="Arial"/>
                <w:b/>
                <w:color w:val="auto"/>
                <w:sz w:val="20"/>
                <w:szCs w:val="20"/>
              </w:rPr>
            </w:pPr>
          </w:p>
          <w:p w14:paraId="2A236E97" w14:textId="77777777" w:rsidR="00BA7B0A" w:rsidRPr="004103DF" w:rsidRDefault="00BA7B0A" w:rsidP="00BA7B0A">
            <w:pPr>
              <w:pStyle w:val="Default"/>
              <w:jc w:val="center"/>
              <w:rPr>
                <w:rFonts w:ascii="Arial" w:eastAsia="Arial Unicode MS" w:hAnsi="Arial" w:cs="Arial"/>
                <w:b/>
                <w:color w:val="auto"/>
                <w:sz w:val="30"/>
                <w:szCs w:val="30"/>
              </w:rPr>
            </w:pPr>
            <w:r w:rsidRPr="004103DF">
              <w:rPr>
                <w:rFonts w:ascii="Arial" w:eastAsia="Arial Unicode MS" w:hAnsi="Arial" w:cs="Arial"/>
                <w:b/>
                <w:color w:val="auto"/>
                <w:sz w:val="30"/>
                <w:szCs w:val="30"/>
              </w:rPr>
              <w:t xml:space="preserve">THE NATIONAL RIFLE ASSOCIATION </w:t>
            </w:r>
            <w:r w:rsidR="00E230DE" w:rsidRPr="004103DF">
              <w:rPr>
                <w:rFonts w:ascii="Arial" w:eastAsia="Arial Unicode MS" w:hAnsi="Arial" w:cs="Arial"/>
                <w:b/>
                <w:color w:val="auto"/>
                <w:sz w:val="30"/>
                <w:szCs w:val="30"/>
              </w:rPr>
              <w:t>INDIVIDUAL MEMBER</w:t>
            </w:r>
          </w:p>
          <w:p w14:paraId="2C56703F" w14:textId="77777777" w:rsidR="00BA7B0A" w:rsidRPr="004103DF" w:rsidRDefault="00BA7B0A" w:rsidP="00BA7B0A">
            <w:pPr>
              <w:pStyle w:val="Default"/>
              <w:jc w:val="center"/>
              <w:rPr>
                <w:rFonts w:ascii="Arial" w:eastAsia="Arial Unicode MS" w:hAnsi="Arial" w:cs="Arial"/>
                <w:b/>
                <w:color w:val="auto"/>
                <w:sz w:val="30"/>
                <w:szCs w:val="30"/>
              </w:rPr>
            </w:pPr>
            <w:r w:rsidRPr="004103DF">
              <w:rPr>
                <w:rFonts w:ascii="Arial" w:eastAsia="Arial Unicode MS" w:hAnsi="Arial" w:cs="Arial"/>
                <w:b/>
                <w:color w:val="auto"/>
                <w:sz w:val="30"/>
                <w:szCs w:val="30"/>
              </w:rPr>
              <w:t>S</w:t>
            </w:r>
            <w:r w:rsidR="00870FBE" w:rsidRPr="004103DF">
              <w:rPr>
                <w:rFonts w:ascii="Arial" w:eastAsia="Arial Unicode MS" w:hAnsi="Arial" w:cs="Arial"/>
                <w:b/>
                <w:color w:val="auto"/>
                <w:sz w:val="30"/>
                <w:szCs w:val="30"/>
              </w:rPr>
              <w:t xml:space="preserve">UMMARY OF </w:t>
            </w:r>
            <w:r w:rsidR="00406670" w:rsidRPr="004103DF">
              <w:rPr>
                <w:rFonts w:ascii="Arial" w:eastAsia="Arial Unicode MS" w:hAnsi="Arial" w:cs="Arial"/>
                <w:b/>
                <w:color w:val="auto"/>
                <w:sz w:val="30"/>
                <w:szCs w:val="30"/>
              </w:rPr>
              <w:t xml:space="preserve">STANDARD </w:t>
            </w:r>
            <w:r w:rsidR="00870FBE" w:rsidRPr="004103DF">
              <w:rPr>
                <w:rFonts w:ascii="Arial" w:eastAsia="Arial Unicode MS" w:hAnsi="Arial" w:cs="Arial"/>
                <w:b/>
                <w:color w:val="auto"/>
                <w:sz w:val="30"/>
                <w:szCs w:val="30"/>
              </w:rPr>
              <w:t>INSURANCE COVER</w:t>
            </w:r>
          </w:p>
          <w:p w14:paraId="0B1CEF1E" w14:textId="77777777" w:rsidR="00BA7B0A" w:rsidRPr="005C05AA" w:rsidRDefault="00BA7B0A" w:rsidP="0082678C">
            <w:pPr>
              <w:pStyle w:val="Default"/>
              <w:jc w:val="center"/>
              <w:rPr>
                <w:rFonts w:ascii="Arial" w:eastAsia="Arial Unicode MS" w:hAnsi="Arial" w:cs="Arial"/>
                <w:b/>
                <w:color w:val="auto"/>
                <w:sz w:val="20"/>
                <w:szCs w:val="20"/>
              </w:rPr>
            </w:pPr>
          </w:p>
        </w:tc>
      </w:tr>
    </w:tbl>
    <w:p w14:paraId="62D49DDC" w14:textId="77777777" w:rsidR="003B51A6" w:rsidRPr="005C05AA" w:rsidRDefault="003B51A6" w:rsidP="00F815A6">
      <w:pPr>
        <w:pStyle w:val="Default"/>
        <w:rPr>
          <w:rFonts w:ascii="Arial" w:eastAsia="Arial Unicode MS" w:hAnsi="Arial" w:cs="Arial"/>
          <w:color w:val="auto"/>
          <w:sz w:val="20"/>
          <w:szCs w:val="20"/>
        </w:rPr>
      </w:pPr>
    </w:p>
    <w:p w14:paraId="11B8E1F5" w14:textId="09598DF4" w:rsidR="00DF41B0" w:rsidRDefault="00F815A6" w:rsidP="00E230DE">
      <w:pPr>
        <w:rPr>
          <w:rFonts w:eastAsia="Arial Unicode MS" w:cs="Arial"/>
          <w:sz w:val="20"/>
          <w:szCs w:val="20"/>
        </w:rPr>
      </w:pPr>
      <w:r w:rsidRPr="005C05AA">
        <w:rPr>
          <w:rFonts w:eastAsia="Arial Unicode MS" w:cs="Arial"/>
          <w:sz w:val="20"/>
          <w:szCs w:val="20"/>
        </w:rPr>
        <w:t xml:space="preserve">The information set out is issued by the NRA’s insurance broker </w:t>
      </w:r>
      <w:r w:rsidR="003102F7">
        <w:rPr>
          <w:rFonts w:eastAsia="Arial Unicode MS" w:cs="Arial"/>
          <w:sz w:val="20"/>
          <w:szCs w:val="20"/>
        </w:rPr>
        <w:t>James Hallam Limited</w:t>
      </w:r>
      <w:r w:rsidRPr="005C05AA">
        <w:rPr>
          <w:rFonts w:eastAsia="Arial Unicode MS" w:cs="Arial"/>
          <w:sz w:val="20"/>
          <w:szCs w:val="20"/>
        </w:rPr>
        <w:t xml:space="preserve">. This is </w:t>
      </w:r>
      <w:r w:rsidR="000C361A" w:rsidRPr="005C05AA">
        <w:rPr>
          <w:rFonts w:eastAsia="Arial Unicode MS" w:cs="Arial"/>
          <w:sz w:val="20"/>
          <w:szCs w:val="20"/>
        </w:rPr>
        <w:t xml:space="preserve">a </w:t>
      </w:r>
      <w:r w:rsidR="000C361A" w:rsidRPr="00DF41B0">
        <w:rPr>
          <w:rFonts w:eastAsia="Arial Unicode MS" w:cs="Arial"/>
          <w:b/>
          <w:sz w:val="20"/>
          <w:szCs w:val="20"/>
        </w:rPr>
        <w:t>summary</w:t>
      </w:r>
      <w:r w:rsidRPr="005C05AA">
        <w:rPr>
          <w:rFonts w:eastAsia="Arial Unicode MS" w:cs="Arial"/>
          <w:sz w:val="20"/>
          <w:szCs w:val="20"/>
        </w:rPr>
        <w:t xml:space="preserve"> of the </w:t>
      </w:r>
      <w:r w:rsidR="00406670" w:rsidRPr="005C05AA">
        <w:rPr>
          <w:rFonts w:eastAsia="Arial Unicode MS" w:cs="Arial"/>
          <w:sz w:val="20"/>
          <w:szCs w:val="20"/>
        </w:rPr>
        <w:t xml:space="preserve">standard </w:t>
      </w:r>
      <w:r w:rsidRPr="005C05AA">
        <w:rPr>
          <w:rFonts w:eastAsia="Arial Unicode MS" w:cs="Arial"/>
          <w:sz w:val="20"/>
          <w:szCs w:val="20"/>
        </w:rPr>
        <w:t xml:space="preserve">cover </w:t>
      </w:r>
      <w:r w:rsidR="00E230DE" w:rsidRPr="005C05AA">
        <w:rPr>
          <w:rFonts w:eastAsia="Arial Unicode MS" w:cs="Arial"/>
          <w:sz w:val="20"/>
          <w:szCs w:val="20"/>
        </w:rPr>
        <w:t>provided</w:t>
      </w:r>
      <w:r w:rsidR="00DF41B0">
        <w:rPr>
          <w:rFonts w:eastAsia="Arial Unicode MS" w:cs="Arial"/>
          <w:sz w:val="20"/>
          <w:szCs w:val="20"/>
        </w:rPr>
        <w:t xml:space="preserve"> as a benefit of affiliation to the </w:t>
      </w:r>
      <w:bookmarkStart w:id="0" w:name="_Hlk206680157"/>
      <w:r w:rsidR="00DF41B0">
        <w:rPr>
          <w:rFonts w:eastAsia="Arial Unicode MS" w:cs="Arial"/>
          <w:sz w:val="20"/>
          <w:szCs w:val="20"/>
        </w:rPr>
        <w:t>NRA</w:t>
      </w:r>
      <w:r w:rsidR="004E30CB">
        <w:rPr>
          <w:rFonts w:eastAsia="Arial Unicode MS" w:cs="Arial"/>
          <w:sz w:val="20"/>
          <w:szCs w:val="20"/>
        </w:rPr>
        <w:t>, Bisley Shooting Ground, B</w:t>
      </w:r>
      <w:r w:rsidR="0012031D">
        <w:rPr>
          <w:rFonts w:eastAsia="Arial Unicode MS" w:cs="Arial"/>
          <w:sz w:val="20"/>
          <w:szCs w:val="20"/>
        </w:rPr>
        <w:t>i</w:t>
      </w:r>
      <w:r w:rsidR="004E30CB">
        <w:rPr>
          <w:rFonts w:eastAsia="Arial Unicode MS" w:cs="Arial"/>
          <w:sz w:val="20"/>
          <w:szCs w:val="20"/>
        </w:rPr>
        <w:t>sley Shooting Range and</w:t>
      </w:r>
      <w:r w:rsidR="0012031D">
        <w:rPr>
          <w:rFonts w:eastAsia="Arial Unicode MS" w:cs="Arial"/>
          <w:sz w:val="20"/>
          <w:szCs w:val="20"/>
        </w:rPr>
        <w:t xml:space="preserve"> National Clay Shooting Centre</w:t>
      </w:r>
      <w:r w:rsidR="00DF41B0">
        <w:rPr>
          <w:rFonts w:eastAsia="Arial Unicode MS" w:cs="Arial"/>
          <w:sz w:val="20"/>
          <w:szCs w:val="20"/>
        </w:rPr>
        <w:t>.</w:t>
      </w:r>
    </w:p>
    <w:bookmarkEnd w:id="0"/>
    <w:p w14:paraId="7CC13018" w14:textId="3C9FF4F7" w:rsidR="003B51A6" w:rsidRPr="00715540" w:rsidRDefault="00F815A6" w:rsidP="00E230DE">
      <w:pPr>
        <w:rPr>
          <w:rFonts w:eastAsia="Arial Unicode MS" w:cs="Arial"/>
          <w:sz w:val="12"/>
          <w:szCs w:val="12"/>
        </w:rPr>
      </w:pPr>
      <w:r w:rsidRPr="005C05AA">
        <w:rPr>
          <w:rFonts w:eastAsia="Arial Unicode MS" w:cs="Arial"/>
          <w:sz w:val="20"/>
          <w:szCs w:val="20"/>
        </w:rPr>
        <w:t>This is for the period of i</w:t>
      </w:r>
      <w:r w:rsidR="00955188" w:rsidRPr="005C05AA">
        <w:rPr>
          <w:rFonts w:eastAsia="Arial Unicode MS" w:cs="Arial"/>
          <w:sz w:val="20"/>
          <w:szCs w:val="20"/>
        </w:rPr>
        <w:t xml:space="preserve">nsurance from the </w:t>
      </w:r>
      <w:proofErr w:type="gramStart"/>
      <w:r w:rsidR="003C30BB" w:rsidRPr="005C05AA">
        <w:rPr>
          <w:rFonts w:eastAsia="Arial Unicode MS" w:cs="Arial"/>
          <w:sz w:val="20"/>
          <w:szCs w:val="20"/>
        </w:rPr>
        <w:t>1</w:t>
      </w:r>
      <w:r w:rsidR="003C30BB" w:rsidRPr="005C05AA">
        <w:rPr>
          <w:rFonts w:eastAsia="Arial Unicode MS" w:cs="Arial"/>
          <w:sz w:val="20"/>
          <w:szCs w:val="20"/>
          <w:vertAlign w:val="superscript"/>
        </w:rPr>
        <w:t>st</w:t>
      </w:r>
      <w:proofErr w:type="gramEnd"/>
      <w:r w:rsidR="003C30BB" w:rsidRPr="005C05AA">
        <w:rPr>
          <w:rFonts w:eastAsia="Arial Unicode MS" w:cs="Arial"/>
          <w:sz w:val="20"/>
          <w:szCs w:val="20"/>
        </w:rPr>
        <w:t xml:space="preserve"> </w:t>
      </w:r>
      <w:r w:rsidR="006D01DB">
        <w:rPr>
          <w:rFonts w:eastAsia="Arial Unicode MS" w:cs="Arial"/>
          <w:sz w:val="20"/>
          <w:szCs w:val="20"/>
        </w:rPr>
        <w:t>January 20</w:t>
      </w:r>
      <w:r w:rsidR="004F47DF">
        <w:rPr>
          <w:rFonts w:eastAsia="Arial Unicode MS" w:cs="Arial"/>
          <w:sz w:val="20"/>
          <w:szCs w:val="20"/>
        </w:rPr>
        <w:t>2</w:t>
      </w:r>
      <w:r w:rsidR="004E30CB">
        <w:rPr>
          <w:rFonts w:eastAsia="Arial Unicode MS" w:cs="Arial"/>
          <w:sz w:val="20"/>
          <w:szCs w:val="20"/>
        </w:rPr>
        <w:t>6</w:t>
      </w:r>
      <w:r w:rsidR="006D01DB">
        <w:rPr>
          <w:rFonts w:eastAsia="Arial Unicode MS" w:cs="Arial"/>
          <w:sz w:val="20"/>
          <w:szCs w:val="20"/>
        </w:rPr>
        <w:t xml:space="preserve"> </w:t>
      </w:r>
      <w:r w:rsidR="00D92242">
        <w:rPr>
          <w:rFonts w:eastAsia="Arial Unicode MS" w:cs="Arial"/>
          <w:sz w:val="20"/>
          <w:szCs w:val="20"/>
        </w:rPr>
        <w:t>to the 3</w:t>
      </w:r>
      <w:r w:rsidR="002408FE">
        <w:rPr>
          <w:rFonts w:eastAsia="Arial Unicode MS" w:cs="Arial"/>
          <w:sz w:val="20"/>
          <w:szCs w:val="20"/>
        </w:rPr>
        <w:t>1</w:t>
      </w:r>
      <w:r w:rsidR="002408FE" w:rsidRPr="002408FE">
        <w:rPr>
          <w:rFonts w:eastAsia="Arial Unicode MS" w:cs="Arial"/>
          <w:sz w:val="20"/>
          <w:szCs w:val="20"/>
          <w:vertAlign w:val="superscript"/>
        </w:rPr>
        <w:t>st</w:t>
      </w:r>
      <w:r w:rsidR="002408FE">
        <w:rPr>
          <w:rFonts w:eastAsia="Arial Unicode MS" w:cs="Arial"/>
          <w:sz w:val="20"/>
          <w:szCs w:val="20"/>
        </w:rPr>
        <w:t xml:space="preserve"> December </w:t>
      </w:r>
      <w:r w:rsidRPr="005C05AA">
        <w:rPr>
          <w:rFonts w:eastAsia="Arial Unicode MS" w:cs="Arial"/>
          <w:sz w:val="20"/>
          <w:szCs w:val="20"/>
        </w:rPr>
        <w:t>20</w:t>
      </w:r>
      <w:r w:rsidR="00D92242">
        <w:rPr>
          <w:rFonts w:eastAsia="Arial Unicode MS" w:cs="Arial"/>
          <w:sz w:val="20"/>
          <w:szCs w:val="20"/>
        </w:rPr>
        <w:t>2</w:t>
      </w:r>
      <w:r w:rsidR="004E30CB">
        <w:rPr>
          <w:rFonts w:eastAsia="Arial Unicode MS" w:cs="Arial"/>
          <w:sz w:val="20"/>
          <w:szCs w:val="20"/>
        </w:rPr>
        <w:t>6</w:t>
      </w:r>
      <w:r w:rsidRPr="005C05AA">
        <w:rPr>
          <w:rFonts w:eastAsia="Arial Unicode MS" w:cs="Arial"/>
          <w:sz w:val="20"/>
          <w:szCs w:val="20"/>
        </w:rPr>
        <w:t xml:space="preserve"> both dates inclusive. </w:t>
      </w:r>
      <w:r w:rsidR="00E230DE" w:rsidRPr="005C05AA">
        <w:rPr>
          <w:rFonts w:eastAsia="Arial Unicode MS" w:cs="Arial"/>
          <w:sz w:val="20"/>
          <w:szCs w:val="20"/>
        </w:rPr>
        <w:t xml:space="preserve"> </w:t>
      </w:r>
      <w:r w:rsidRPr="005C05AA">
        <w:rPr>
          <w:rFonts w:eastAsia="Arial Unicode MS" w:cs="Arial"/>
          <w:sz w:val="20"/>
          <w:szCs w:val="20"/>
        </w:rPr>
        <w:t xml:space="preserve">Cover is provided for </w:t>
      </w:r>
      <w:r w:rsidR="00E230DE" w:rsidRPr="005C05AA">
        <w:rPr>
          <w:rFonts w:eastAsia="Arial Unicode MS" w:cs="Arial"/>
          <w:sz w:val="20"/>
          <w:szCs w:val="20"/>
        </w:rPr>
        <w:t xml:space="preserve">directly affiliated members of </w:t>
      </w:r>
      <w:proofErr w:type="gramStart"/>
      <w:r w:rsidR="00E230DE" w:rsidRPr="005C05AA">
        <w:rPr>
          <w:rFonts w:eastAsia="Arial Unicode MS" w:cs="Arial"/>
          <w:sz w:val="20"/>
          <w:szCs w:val="20"/>
        </w:rPr>
        <w:t xml:space="preserve">the  </w:t>
      </w:r>
      <w:r w:rsidR="0012031D" w:rsidRPr="0012031D">
        <w:rPr>
          <w:rFonts w:eastAsia="Arial Unicode MS" w:cs="Arial"/>
          <w:sz w:val="20"/>
          <w:szCs w:val="20"/>
        </w:rPr>
        <w:t>NRA</w:t>
      </w:r>
      <w:proofErr w:type="gramEnd"/>
      <w:r w:rsidR="0012031D" w:rsidRPr="0012031D">
        <w:rPr>
          <w:rFonts w:eastAsia="Arial Unicode MS" w:cs="Arial"/>
          <w:sz w:val="20"/>
          <w:szCs w:val="20"/>
        </w:rPr>
        <w:t>, Bisley Shooting Ground, Bisley Shooting Range and National Clay Shooting Centre.</w:t>
      </w:r>
    </w:p>
    <w:tbl>
      <w:tblPr>
        <w:tblStyle w:val="TableGrid"/>
        <w:tblW w:w="10277" w:type="dxa"/>
        <w:tblLook w:val="04A0" w:firstRow="1" w:lastRow="0" w:firstColumn="1" w:lastColumn="0" w:noHBand="0" w:noVBand="1"/>
      </w:tblPr>
      <w:tblGrid>
        <w:gridCol w:w="10277"/>
      </w:tblGrid>
      <w:tr w:rsidR="005816DA" w:rsidRPr="005C05AA" w14:paraId="4E4F3071" w14:textId="77777777" w:rsidTr="0012031D">
        <w:trPr>
          <w:trHeight w:val="613"/>
        </w:trPr>
        <w:tc>
          <w:tcPr>
            <w:tcW w:w="10277" w:type="dxa"/>
          </w:tcPr>
          <w:p w14:paraId="1A5EFC7C" w14:textId="77777777" w:rsidR="005816DA" w:rsidRPr="005C05AA" w:rsidRDefault="005816DA" w:rsidP="005816DA">
            <w:pPr>
              <w:pStyle w:val="Default"/>
              <w:jc w:val="center"/>
              <w:rPr>
                <w:rFonts w:ascii="Arial" w:eastAsia="Arial Unicode MS" w:hAnsi="Arial" w:cs="Arial"/>
                <w:b/>
                <w:color w:val="auto"/>
                <w:sz w:val="20"/>
                <w:szCs w:val="20"/>
              </w:rPr>
            </w:pPr>
          </w:p>
          <w:p w14:paraId="4908ECF3" w14:textId="77777777" w:rsidR="005816DA" w:rsidRPr="004103DF" w:rsidRDefault="00406670" w:rsidP="005816DA">
            <w:pPr>
              <w:pStyle w:val="Default"/>
              <w:jc w:val="center"/>
              <w:rPr>
                <w:rFonts w:ascii="Arial" w:eastAsia="Arial Unicode MS" w:hAnsi="Arial" w:cs="Arial"/>
                <w:b/>
                <w:color w:val="auto"/>
                <w:sz w:val="30"/>
                <w:szCs w:val="30"/>
              </w:rPr>
            </w:pPr>
            <w:r w:rsidRPr="004103DF">
              <w:rPr>
                <w:rFonts w:ascii="Arial" w:eastAsia="Arial Unicode MS" w:hAnsi="Arial" w:cs="Arial"/>
                <w:b/>
                <w:color w:val="auto"/>
                <w:sz w:val="30"/>
                <w:szCs w:val="30"/>
              </w:rPr>
              <w:t xml:space="preserve">Standard </w:t>
            </w:r>
            <w:r w:rsidR="005816DA" w:rsidRPr="004103DF">
              <w:rPr>
                <w:rFonts w:ascii="Arial" w:eastAsia="Arial Unicode MS" w:hAnsi="Arial" w:cs="Arial"/>
                <w:b/>
                <w:color w:val="auto"/>
                <w:sz w:val="30"/>
                <w:szCs w:val="30"/>
              </w:rPr>
              <w:t>Insurance Cover</w:t>
            </w:r>
          </w:p>
          <w:p w14:paraId="76770030" w14:textId="77777777" w:rsidR="005816DA" w:rsidRPr="005C05AA" w:rsidRDefault="005816DA" w:rsidP="005901EA">
            <w:pPr>
              <w:pStyle w:val="Default"/>
              <w:jc w:val="center"/>
              <w:rPr>
                <w:rFonts w:ascii="Arial" w:eastAsia="Arial Unicode MS" w:hAnsi="Arial" w:cs="Arial"/>
                <w:b/>
                <w:color w:val="auto"/>
                <w:sz w:val="20"/>
                <w:szCs w:val="20"/>
              </w:rPr>
            </w:pPr>
          </w:p>
        </w:tc>
      </w:tr>
      <w:tr w:rsidR="005816DA" w:rsidRPr="005C05AA" w14:paraId="40AB152E" w14:textId="77777777" w:rsidTr="0012031D">
        <w:trPr>
          <w:trHeight w:val="7752"/>
        </w:trPr>
        <w:tc>
          <w:tcPr>
            <w:tcW w:w="10277" w:type="dxa"/>
          </w:tcPr>
          <w:p w14:paraId="4F023465" w14:textId="77777777" w:rsidR="005816DA" w:rsidRPr="005C05AA" w:rsidRDefault="005816DA" w:rsidP="005816DA">
            <w:pPr>
              <w:pStyle w:val="Default"/>
              <w:rPr>
                <w:rFonts w:ascii="Arial" w:eastAsia="Arial Unicode MS" w:hAnsi="Arial" w:cs="Arial"/>
                <w:b/>
                <w:color w:val="auto"/>
                <w:sz w:val="20"/>
                <w:szCs w:val="20"/>
                <w:u w:val="single"/>
              </w:rPr>
            </w:pPr>
          </w:p>
          <w:p w14:paraId="12353E01" w14:textId="627F7086" w:rsidR="00527608" w:rsidRDefault="005816DA" w:rsidP="005816DA">
            <w:pPr>
              <w:pStyle w:val="Default"/>
              <w:rPr>
                <w:rFonts w:ascii="Arial" w:eastAsia="Arial Unicode MS" w:hAnsi="Arial" w:cs="Arial"/>
                <w:b/>
                <w:color w:val="auto"/>
                <w:sz w:val="20"/>
                <w:szCs w:val="20"/>
                <w:u w:val="single"/>
              </w:rPr>
            </w:pPr>
            <w:r w:rsidRPr="005C05AA">
              <w:rPr>
                <w:rFonts w:ascii="Arial" w:eastAsia="Arial Unicode MS" w:hAnsi="Arial" w:cs="Arial"/>
                <w:b/>
                <w:color w:val="auto"/>
                <w:sz w:val="20"/>
                <w:szCs w:val="20"/>
                <w:u w:val="single"/>
              </w:rPr>
              <w:t xml:space="preserve">Liability Insurance </w:t>
            </w:r>
          </w:p>
          <w:p w14:paraId="1E38E32B" w14:textId="77777777" w:rsidR="00527608" w:rsidRDefault="005816DA" w:rsidP="005816DA">
            <w:pPr>
              <w:pStyle w:val="Default"/>
              <w:rPr>
                <w:rFonts w:ascii="Arial" w:eastAsia="Arial Unicode MS" w:hAnsi="Arial" w:cs="Arial"/>
                <w:color w:val="auto"/>
                <w:sz w:val="20"/>
                <w:szCs w:val="20"/>
              </w:rPr>
            </w:pPr>
            <w:r w:rsidRPr="005C05AA">
              <w:rPr>
                <w:rFonts w:ascii="Arial" w:eastAsia="Arial Unicode MS" w:hAnsi="Arial" w:cs="Arial"/>
                <w:color w:val="auto"/>
                <w:sz w:val="20"/>
                <w:szCs w:val="20"/>
              </w:rPr>
              <w:t>Cover is provided for activities au</w:t>
            </w:r>
            <w:r w:rsidR="00E230DE" w:rsidRPr="005C05AA">
              <w:rPr>
                <w:rFonts w:ascii="Arial" w:eastAsia="Arial Unicode MS" w:hAnsi="Arial" w:cs="Arial"/>
                <w:color w:val="auto"/>
                <w:sz w:val="20"/>
                <w:szCs w:val="20"/>
              </w:rPr>
              <w:t>thorised/recognised by the NRA</w:t>
            </w:r>
            <w:r w:rsidR="00527608">
              <w:rPr>
                <w:rFonts w:ascii="Arial" w:eastAsia="Arial Unicode MS" w:hAnsi="Arial" w:cs="Arial"/>
                <w:color w:val="auto"/>
                <w:sz w:val="20"/>
                <w:szCs w:val="20"/>
              </w:rPr>
              <w:t>:</w:t>
            </w:r>
          </w:p>
          <w:p w14:paraId="62A9DB63" w14:textId="77777777" w:rsidR="00527608" w:rsidRDefault="00527608" w:rsidP="005816DA">
            <w:pPr>
              <w:pStyle w:val="Default"/>
              <w:rPr>
                <w:rFonts w:ascii="Arial" w:eastAsia="Arial Unicode MS" w:hAnsi="Arial" w:cs="Arial"/>
                <w:color w:val="auto"/>
                <w:sz w:val="20"/>
                <w:szCs w:val="20"/>
              </w:rPr>
            </w:pPr>
          </w:p>
          <w:p w14:paraId="6BB3ABE3" w14:textId="55C6F57A" w:rsidR="005816DA" w:rsidRPr="005C05AA" w:rsidRDefault="00527608" w:rsidP="005816DA">
            <w:pPr>
              <w:pStyle w:val="Default"/>
              <w:rPr>
                <w:rFonts w:ascii="Arial" w:eastAsia="Arial Unicode MS" w:hAnsi="Arial" w:cs="Arial"/>
                <w:color w:val="auto"/>
                <w:sz w:val="20"/>
                <w:szCs w:val="20"/>
              </w:rPr>
            </w:pPr>
            <w:r w:rsidRPr="00527608">
              <w:rPr>
                <w:rFonts w:ascii="Arial" w:eastAsia="Arial Unicode MS" w:hAnsi="Arial" w:cs="Arial"/>
                <w:color w:val="auto"/>
                <w:sz w:val="20"/>
                <w:szCs w:val="20"/>
              </w:rPr>
              <w:t xml:space="preserve">Training, Coaching, Clay Shooting, Target Rifle and </w:t>
            </w:r>
            <w:proofErr w:type="gramStart"/>
            <w:r w:rsidRPr="00527608">
              <w:rPr>
                <w:rFonts w:ascii="Arial" w:eastAsia="Arial Unicode MS" w:hAnsi="Arial" w:cs="Arial"/>
                <w:color w:val="auto"/>
                <w:sz w:val="20"/>
                <w:szCs w:val="20"/>
              </w:rPr>
              <w:t>Full Bore</w:t>
            </w:r>
            <w:proofErr w:type="gramEnd"/>
            <w:r w:rsidRPr="00527608">
              <w:rPr>
                <w:rFonts w:ascii="Arial" w:eastAsia="Arial Unicode MS" w:hAnsi="Arial" w:cs="Arial"/>
                <w:color w:val="auto"/>
                <w:sz w:val="20"/>
                <w:szCs w:val="20"/>
              </w:rPr>
              <w:t xml:space="preserve"> shooting, Game shooting, Rough shooting, Stalking, Wildfowling, Air Weapons including FAC, </w:t>
            </w:r>
            <w:r w:rsidR="007F63D9">
              <w:rPr>
                <w:rFonts w:ascii="Arial" w:eastAsia="Arial Unicode MS" w:hAnsi="Arial" w:cs="Arial"/>
                <w:color w:val="auto"/>
                <w:sz w:val="20"/>
                <w:szCs w:val="20"/>
              </w:rPr>
              <w:t xml:space="preserve">Archery and Mini-Cannon, </w:t>
            </w:r>
            <w:r w:rsidRPr="00527608">
              <w:rPr>
                <w:rFonts w:ascii="Arial" w:eastAsia="Arial Unicode MS" w:hAnsi="Arial" w:cs="Arial"/>
                <w:color w:val="auto"/>
                <w:sz w:val="20"/>
                <w:szCs w:val="20"/>
              </w:rPr>
              <w:t>Pest Control, Picking up, Beating, Loading, Dog training, Classroom training (Courses) &amp; Game keeping</w:t>
            </w:r>
            <w:r w:rsidR="00E230DE" w:rsidRPr="005C05AA">
              <w:rPr>
                <w:rFonts w:ascii="Arial" w:eastAsia="Arial Unicode MS" w:hAnsi="Arial" w:cs="Arial"/>
                <w:color w:val="auto"/>
                <w:sz w:val="20"/>
                <w:szCs w:val="20"/>
              </w:rPr>
              <w:t xml:space="preserve"> </w:t>
            </w:r>
          </w:p>
          <w:p w14:paraId="66D602B2" w14:textId="77777777" w:rsidR="005816DA" w:rsidRPr="005C05AA" w:rsidRDefault="005816DA" w:rsidP="005816DA">
            <w:pPr>
              <w:pStyle w:val="Default"/>
              <w:rPr>
                <w:rFonts w:ascii="Arial" w:eastAsia="Arial Unicode MS" w:hAnsi="Arial" w:cs="Arial"/>
                <w:b/>
                <w:bCs/>
                <w:color w:val="auto"/>
                <w:sz w:val="20"/>
                <w:szCs w:val="20"/>
              </w:rPr>
            </w:pPr>
          </w:p>
          <w:p w14:paraId="3B3261C6" w14:textId="77777777" w:rsidR="005816DA" w:rsidRPr="005C05AA" w:rsidRDefault="005816DA" w:rsidP="005816DA">
            <w:pPr>
              <w:pStyle w:val="Default"/>
              <w:rPr>
                <w:rFonts w:ascii="Arial" w:eastAsia="Arial Unicode MS" w:hAnsi="Arial" w:cs="Arial"/>
                <w:color w:val="auto"/>
                <w:sz w:val="20"/>
                <w:szCs w:val="20"/>
              </w:rPr>
            </w:pPr>
            <w:r w:rsidRPr="005C05AA">
              <w:rPr>
                <w:rFonts w:ascii="Arial" w:eastAsia="Arial Unicode MS" w:hAnsi="Arial" w:cs="Arial"/>
                <w:b/>
                <w:bCs/>
                <w:color w:val="auto"/>
                <w:sz w:val="20"/>
                <w:szCs w:val="20"/>
              </w:rPr>
              <w:t xml:space="preserve">Public &amp; Products Liability </w:t>
            </w:r>
            <w:r w:rsidRPr="005C05AA">
              <w:rPr>
                <w:rFonts w:ascii="Arial" w:eastAsia="Arial Unicode MS" w:hAnsi="Arial" w:cs="Arial"/>
                <w:color w:val="auto"/>
                <w:sz w:val="20"/>
                <w:szCs w:val="20"/>
              </w:rPr>
              <w:t xml:space="preserve">£10,000,000 limit any one event except products which is any one period of insurance </w:t>
            </w:r>
          </w:p>
          <w:p w14:paraId="5147169D" w14:textId="77777777" w:rsidR="005816DA" w:rsidRPr="005C05AA" w:rsidRDefault="005816DA" w:rsidP="005816DA">
            <w:pPr>
              <w:pStyle w:val="Default"/>
              <w:numPr>
                <w:ilvl w:val="0"/>
                <w:numId w:val="1"/>
              </w:numPr>
              <w:rPr>
                <w:rFonts w:ascii="Arial" w:eastAsia="Arial Unicode MS" w:hAnsi="Arial" w:cs="Arial"/>
                <w:color w:val="auto"/>
                <w:sz w:val="20"/>
                <w:szCs w:val="20"/>
              </w:rPr>
            </w:pPr>
            <w:r w:rsidRPr="005C05AA">
              <w:rPr>
                <w:rFonts w:ascii="Arial" w:eastAsia="Arial Unicode MS" w:hAnsi="Arial" w:cs="Arial"/>
                <w:color w:val="auto"/>
                <w:sz w:val="20"/>
                <w:szCs w:val="20"/>
              </w:rPr>
              <w:t xml:space="preserve">Cover for accidental bodily injury to third parties and/or accidental damage to third party property. Includes member to member, indemnity to principals, liability for damage to leased, hired or borrowed premises. </w:t>
            </w:r>
          </w:p>
          <w:p w14:paraId="2F3B6026" w14:textId="77777777" w:rsidR="005816DA" w:rsidRPr="005C05AA" w:rsidRDefault="005816DA" w:rsidP="005816DA">
            <w:pPr>
              <w:pStyle w:val="Default"/>
              <w:rPr>
                <w:rFonts w:ascii="Arial" w:eastAsia="Arial Unicode MS" w:hAnsi="Arial" w:cs="Arial"/>
                <w:color w:val="auto"/>
                <w:sz w:val="20"/>
                <w:szCs w:val="20"/>
              </w:rPr>
            </w:pPr>
          </w:p>
          <w:p w14:paraId="13E466DA" w14:textId="5CA95DDE" w:rsidR="005816DA" w:rsidRPr="005C05AA" w:rsidRDefault="00E230DE" w:rsidP="005816DA">
            <w:pPr>
              <w:pStyle w:val="Default"/>
              <w:rPr>
                <w:rFonts w:ascii="Arial" w:eastAsia="Arial Unicode MS" w:hAnsi="Arial" w:cs="Arial"/>
                <w:color w:val="auto"/>
                <w:sz w:val="20"/>
                <w:szCs w:val="20"/>
              </w:rPr>
            </w:pPr>
            <w:r w:rsidRPr="005C05AA">
              <w:rPr>
                <w:rFonts w:ascii="Arial" w:eastAsia="Arial Unicode MS" w:hAnsi="Arial" w:cs="Arial"/>
                <w:b/>
                <w:bCs/>
                <w:color w:val="auto"/>
                <w:sz w:val="20"/>
                <w:szCs w:val="20"/>
              </w:rPr>
              <w:t xml:space="preserve">Professional </w:t>
            </w:r>
            <w:r w:rsidR="00AC7E18" w:rsidRPr="005C05AA">
              <w:rPr>
                <w:rFonts w:ascii="Arial" w:eastAsia="Arial Unicode MS" w:hAnsi="Arial" w:cs="Arial"/>
                <w:b/>
                <w:bCs/>
                <w:color w:val="auto"/>
                <w:sz w:val="20"/>
                <w:szCs w:val="20"/>
              </w:rPr>
              <w:t>Indemnity £</w:t>
            </w:r>
            <w:r w:rsidR="005816DA" w:rsidRPr="005C05AA">
              <w:rPr>
                <w:rFonts w:ascii="Arial" w:eastAsia="Arial Unicode MS" w:hAnsi="Arial" w:cs="Arial"/>
                <w:color w:val="auto"/>
                <w:sz w:val="20"/>
                <w:szCs w:val="20"/>
              </w:rPr>
              <w:t xml:space="preserve">10,000,000 limit any one period of insurance </w:t>
            </w:r>
          </w:p>
          <w:p w14:paraId="0F26696D" w14:textId="77777777" w:rsidR="00E230DE" w:rsidRPr="005C05AA" w:rsidRDefault="00E230DE" w:rsidP="00E230DE">
            <w:pPr>
              <w:pStyle w:val="Default"/>
              <w:numPr>
                <w:ilvl w:val="0"/>
                <w:numId w:val="1"/>
              </w:numPr>
              <w:rPr>
                <w:rFonts w:ascii="Arial" w:eastAsia="Arial Unicode MS" w:hAnsi="Arial" w:cs="Arial"/>
                <w:color w:val="auto"/>
                <w:sz w:val="20"/>
                <w:szCs w:val="20"/>
              </w:rPr>
            </w:pPr>
            <w:r w:rsidRPr="005C05AA">
              <w:rPr>
                <w:rFonts w:ascii="Arial" w:eastAsia="Arial Unicode MS" w:hAnsi="Arial" w:cs="Arial"/>
                <w:color w:val="auto"/>
                <w:sz w:val="20"/>
                <w:szCs w:val="20"/>
              </w:rPr>
              <w:t xml:space="preserve">Provides protection for you in the event of </w:t>
            </w:r>
            <w:r w:rsidR="005C05AA" w:rsidRPr="005C05AA">
              <w:rPr>
                <w:rFonts w:ascii="Arial" w:eastAsia="Arial Unicode MS" w:hAnsi="Arial" w:cs="Arial"/>
                <w:color w:val="auto"/>
                <w:sz w:val="20"/>
                <w:szCs w:val="20"/>
              </w:rPr>
              <w:t>you are alleged to be</w:t>
            </w:r>
            <w:r w:rsidRPr="005C05AA">
              <w:rPr>
                <w:rFonts w:ascii="Arial" w:eastAsia="Arial Unicode MS" w:hAnsi="Arial" w:cs="Arial"/>
                <w:color w:val="auto"/>
                <w:sz w:val="20"/>
                <w:szCs w:val="20"/>
              </w:rPr>
              <w:t xml:space="preserve"> legally liable for negligent acts, errors or omissions including claims for defamation such as libel or slander.</w:t>
            </w:r>
          </w:p>
          <w:p w14:paraId="4FA730D8" w14:textId="77777777" w:rsidR="00E230DE" w:rsidRPr="005C05AA" w:rsidRDefault="00E230DE" w:rsidP="00E230DE">
            <w:pPr>
              <w:pStyle w:val="Default"/>
              <w:rPr>
                <w:rFonts w:ascii="Arial" w:eastAsia="Arial Unicode MS" w:hAnsi="Arial" w:cs="Arial"/>
                <w:color w:val="auto"/>
                <w:sz w:val="20"/>
                <w:szCs w:val="20"/>
              </w:rPr>
            </w:pPr>
          </w:p>
          <w:p w14:paraId="5C09BBCA" w14:textId="77777777" w:rsidR="00E230DE" w:rsidRPr="00527608" w:rsidRDefault="00E230DE" w:rsidP="00E230DE">
            <w:pPr>
              <w:pStyle w:val="Default"/>
              <w:rPr>
                <w:rFonts w:ascii="Arial" w:eastAsia="Arial Unicode MS" w:hAnsi="Arial" w:cs="Arial"/>
                <w:b/>
                <w:color w:val="auto"/>
                <w:sz w:val="20"/>
                <w:szCs w:val="20"/>
                <w:u w:val="single"/>
              </w:rPr>
            </w:pPr>
            <w:r w:rsidRPr="00527608">
              <w:rPr>
                <w:rFonts w:ascii="Arial" w:eastAsia="Arial Unicode MS" w:hAnsi="Arial" w:cs="Arial"/>
                <w:b/>
                <w:color w:val="auto"/>
                <w:sz w:val="20"/>
                <w:szCs w:val="20"/>
                <w:u w:val="single"/>
              </w:rPr>
              <w:t xml:space="preserve">Shooting Equipment </w:t>
            </w:r>
          </w:p>
          <w:p w14:paraId="58209179" w14:textId="77777777" w:rsidR="005C05AA" w:rsidRPr="005C05AA" w:rsidRDefault="005C05AA" w:rsidP="005C05AA">
            <w:pPr>
              <w:pStyle w:val="Default"/>
              <w:numPr>
                <w:ilvl w:val="0"/>
                <w:numId w:val="1"/>
              </w:numPr>
              <w:rPr>
                <w:rFonts w:ascii="Arial" w:eastAsia="Arial Unicode MS" w:hAnsi="Arial" w:cs="Arial"/>
                <w:b/>
                <w:color w:val="auto"/>
                <w:sz w:val="20"/>
                <w:szCs w:val="20"/>
              </w:rPr>
            </w:pPr>
            <w:r w:rsidRPr="005C05AA">
              <w:rPr>
                <w:rFonts w:ascii="Arial" w:eastAsia="Arial Unicode MS" w:hAnsi="Arial" w:cs="Arial"/>
                <w:color w:val="auto"/>
                <w:sz w:val="20"/>
                <w:szCs w:val="20"/>
              </w:rPr>
              <w:t xml:space="preserve">Cover for loss or damage to your own shooting equipment, </w:t>
            </w:r>
            <w:r w:rsidR="00DF41B0">
              <w:rPr>
                <w:rFonts w:ascii="Arial" w:eastAsia="Arial Unicode MS" w:hAnsi="Arial" w:cs="Arial"/>
                <w:color w:val="auto"/>
                <w:sz w:val="20"/>
                <w:szCs w:val="20"/>
              </w:rPr>
              <w:t xml:space="preserve">up to £10,000. </w:t>
            </w:r>
          </w:p>
          <w:p w14:paraId="7479B1EF" w14:textId="77777777" w:rsidR="005816DA" w:rsidRPr="00DF41B0" w:rsidRDefault="005816DA" w:rsidP="00E230DE">
            <w:pPr>
              <w:pStyle w:val="Default"/>
              <w:ind w:left="360"/>
              <w:rPr>
                <w:rFonts w:ascii="Arial" w:eastAsia="Arial Unicode MS" w:hAnsi="Arial" w:cs="Arial"/>
                <w:color w:val="auto"/>
                <w:sz w:val="20"/>
                <w:szCs w:val="20"/>
              </w:rPr>
            </w:pPr>
          </w:p>
          <w:p w14:paraId="7BAC1C00" w14:textId="112FCF6E" w:rsidR="00E230DE" w:rsidRDefault="00E230DE" w:rsidP="00E230DE">
            <w:pPr>
              <w:pStyle w:val="Default"/>
              <w:rPr>
                <w:rFonts w:ascii="Arial" w:eastAsia="Arial Unicode MS" w:hAnsi="Arial" w:cs="Arial"/>
                <w:b/>
                <w:color w:val="auto"/>
                <w:sz w:val="20"/>
                <w:szCs w:val="20"/>
                <w:u w:val="single"/>
              </w:rPr>
            </w:pPr>
            <w:r w:rsidRPr="00527608">
              <w:rPr>
                <w:rFonts w:ascii="Arial" w:eastAsia="Arial Unicode MS" w:hAnsi="Arial" w:cs="Arial"/>
                <w:b/>
                <w:color w:val="auto"/>
                <w:sz w:val="20"/>
                <w:szCs w:val="20"/>
                <w:u w:val="single"/>
              </w:rPr>
              <w:t xml:space="preserve">Personal Accident </w:t>
            </w:r>
          </w:p>
          <w:p w14:paraId="6AEF2065" w14:textId="77777777" w:rsidR="00DF41B0" w:rsidRPr="00DF41B0" w:rsidRDefault="00DF41B0" w:rsidP="00DF41B0">
            <w:pPr>
              <w:pStyle w:val="ListParagraph"/>
              <w:numPr>
                <w:ilvl w:val="0"/>
                <w:numId w:val="1"/>
              </w:numPr>
              <w:spacing w:before="5" w:line="249" w:lineRule="auto"/>
              <w:ind w:right="-8"/>
              <w:rPr>
                <w:sz w:val="20"/>
                <w:szCs w:val="20"/>
              </w:rPr>
            </w:pPr>
            <w:r w:rsidRPr="00DF41B0">
              <w:rPr>
                <w:sz w:val="20"/>
                <w:szCs w:val="20"/>
              </w:rPr>
              <w:t>Cover for set benefits, following bodily injury suffered following an accident sustained whilst undertaking permitted NRA activities.</w:t>
            </w:r>
          </w:p>
          <w:p w14:paraId="4B89B50A" w14:textId="77777777" w:rsidR="00527608" w:rsidRDefault="00527608" w:rsidP="00E230DE">
            <w:pPr>
              <w:pStyle w:val="Default"/>
              <w:rPr>
                <w:rFonts w:ascii="Arial" w:eastAsia="Arial Unicode MS" w:hAnsi="Arial" w:cs="Arial"/>
                <w:b/>
                <w:color w:val="auto"/>
                <w:sz w:val="20"/>
                <w:szCs w:val="20"/>
                <w:u w:val="single"/>
              </w:rPr>
            </w:pPr>
          </w:p>
          <w:p w14:paraId="7F9D567D" w14:textId="7215DB44" w:rsidR="00E230DE" w:rsidRPr="00527608" w:rsidRDefault="00E230DE" w:rsidP="00E230DE">
            <w:pPr>
              <w:pStyle w:val="Default"/>
              <w:rPr>
                <w:rFonts w:ascii="Arial" w:eastAsia="Arial Unicode MS" w:hAnsi="Arial" w:cs="Arial"/>
                <w:b/>
                <w:color w:val="auto"/>
                <w:sz w:val="20"/>
                <w:szCs w:val="20"/>
                <w:u w:val="single"/>
              </w:rPr>
            </w:pPr>
            <w:r w:rsidRPr="00527608">
              <w:rPr>
                <w:rFonts w:ascii="Arial" w:eastAsia="Arial Unicode MS" w:hAnsi="Arial" w:cs="Arial"/>
                <w:b/>
                <w:color w:val="auto"/>
                <w:sz w:val="20"/>
                <w:szCs w:val="20"/>
                <w:u w:val="single"/>
              </w:rPr>
              <w:t xml:space="preserve">Legal Expenses </w:t>
            </w:r>
          </w:p>
          <w:p w14:paraId="520BE708" w14:textId="77777777" w:rsidR="005C05AA" w:rsidRPr="005C05AA" w:rsidRDefault="005C05AA" w:rsidP="00E230DE">
            <w:pPr>
              <w:pStyle w:val="Default"/>
              <w:rPr>
                <w:rFonts w:ascii="Arial" w:eastAsia="Arial Unicode MS" w:hAnsi="Arial" w:cs="Arial"/>
                <w:b/>
                <w:color w:val="auto"/>
                <w:sz w:val="20"/>
                <w:szCs w:val="20"/>
              </w:rPr>
            </w:pPr>
          </w:p>
          <w:p w14:paraId="029F08B5" w14:textId="24F5123D" w:rsidR="00BB79C0" w:rsidRPr="0036501B" w:rsidRDefault="00BB79C0" w:rsidP="0036501B">
            <w:pPr>
              <w:pStyle w:val="ListParagraph"/>
              <w:numPr>
                <w:ilvl w:val="0"/>
                <w:numId w:val="1"/>
              </w:numPr>
              <w:spacing w:before="5" w:line="249" w:lineRule="auto"/>
              <w:ind w:right="-8"/>
              <w:rPr>
                <w:sz w:val="20"/>
                <w:szCs w:val="20"/>
              </w:rPr>
            </w:pPr>
            <w:r w:rsidRPr="0036501B">
              <w:rPr>
                <w:sz w:val="20"/>
                <w:szCs w:val="20"/>
              </w:rPr>
              <w:t xml:space="preserve">Statutory license appeals: costs incurred in an appeal or representation to the relevant statutory or regulatory authority, Court, tribunal or other mandatory body following an act, or omission or alleged act or omission which leads </w:t>
            </w:r>
            <w:proofErr w:type="gramStart"/>
            <w:r w:rsidRPr="0036501B">
              <w:rPr>
                <w:sz w:val="20"/>
                <w:szCs w:val="20"/>
              </w:rPr>
              <w:t>to:</w:t>
            </w:r>
            <w:proofErr w:type="gramEnd"/>
            <w:r w:rsidRPr="0036501B">
              <w:rPr>
                <w:sz w:val="20"/>
                <w:szCs w:val="20"/>
              </w:rPr>
              <w:t xml:space="preserve"> suspension, revocation, curtailing of the firearms license, or failure to grant any variations in the firearms license</w:t>
            </w:r>
          </w:p>
          <w:p w14:paraId="5017E9F4" w14:textId="4C31D2A2" w:rsidR="00BB79C0" w:rsidRPr="0036501B" w:rsidRDefault="00BB79C0" w:rsidP="0036501B">
            <w:pPr>
              <w:pStyle w:val="ListParagraph"/>
              <w:numPr>
                <w:ilvl w:val="0"/>
                <w:numId w:val="1"/>
              </w:numPr>
              <w:spacing w:before="5" w:line="249" w:lineRule="auto"/>
              <w:ind w:right="-8"/>
              <w:rPr>
                <w:sz w:val="20"/>
                <w:szCs w:val="20"/>
              </w:rPr>
            </w:pPr>
            <w:r w:rsidRPr="0036501B">
              <w:rPr>
                <w:sz w:val="20"/>
                <w:szCs w:val="20"/>
              </w:rPr>
              <w:t>Legal defence: we will provide cover for the defence of criminal prosecutions, as well as for investigations or disciplinary proceedings brought by a professional body.</w:t>
            </w:r>
          </w:p>
          <w:p w14:paraId="07075DEE" w14:textId="6ABA06D0" w:rsidR="004103DF" w:rsidRPr="005C05AA" w:rsidRDefault="004103DF" w:rsidP="00BB79C0">
            <w:pPr>
              <w:pStyle w:val="Default"/>
              <w:rPr>
                <w:rFonts w:ascii="Arial" w:eastAsia="Arial Unicode MS" w:hAnsi="Arial" w:cs="Arial"/>
                <w:color w:val="auto"/>
                <w:sz w:val="20"/>
                <w:szCs w:val="20"/>
              </w:rPr>
            </w:pPr>
          </w:p>
        </w:tc>
      </w:tr>
    </w:tbl>
    <w:p w14:paraId="7E585582" w14:textId="77777777" w:rsidR="004103DF" w:rsidRDefault="004103DF" w:rsidP="005C05AA">
      <w:pPr>
        <w:pStyle w:val="Default"/>
        <w:rPr>
          <w:rFonts w:ascii="Arial" w:hAnsi="Arial" w:cs="Arial"/>
          <w:b/>
          <w:color w:val="auto"/>
          <w:sz w:val="20"/>
          <w:szCs w:val="20"/>
        </w:rPr>
      </w:pPr>
    </w:p>
    <w:p w14:paraId="1DD5473A" w14:textId="731DE76B" w:rsidR="00DF41B0" w:rsidRDefault="00DF41B0" w:rsidP="0036501B">
      <w:pPr>
        <w:pStyle w:val="Default"/>
        <w:jc w:val="center"/>
        <w:rPr>
          <w:rFonts w:ascii="Arial" w:hAnsi="Arial" w:cs="Arial"/>
          <w:b/>
          <w:color w:val="auto"/>
          <w:sz w:val="23"/>
          <w:szCs w:val="23"/>
        </w:rPr>
      </w:pPr>
      <w:r w:rsidRPr="0036501B">
        <w:rPr>
          <w:rFonts w:ascii="Arial" w:hAnsi="Arial" w:cs="Arial"/>
          <w:b/>
          <w:color w:val="auto"/>
          <w:sz w:val="23"/>
          <w:szCs w:val="23"/>
        </w:rPr>
        <w:t>All insurance policies can be subject to excesses, te</w:t>
      </w:r>
      <w:r w:rsidR="00715540" w:rsidRPr="0036501B">
        <w:rPr>
          <w:rFonts w:ascii="Arial" w:hAnsi="Arial" w:cs="Arial"/>
          <w:b/>
          <w:color w:val="auto"/>
          <w:sz w:val="23"/>
          <w:szCs w:val="23"/>
        </w:rPr>
        <w:t xml:space="preserve">rms, conditions and limitation.  </w:t>
      </w:r>
      <w:r w:rsidR="006E187D" w:rsidRPr="0036501B">
        <w:rPr>
          <w:rFonts w:ascii="Arial" w:hAnsi="Arial" w:cs="Arial"/>
          <w:b/>
          <w:color w:val="auto"/>
          <w:sz w:val="23"/>
          <w:szCs w:val="23"/>
        </w:rPr>
        <w:t>F</w:t>
      </w:r>
      <w:r w:rsidRPr="0036501B">
        <w:rPr>
          <w:rFonts w:ascii="Arial" w:hAnsi="Arial" w:cs="Arial"/>
          <w:b/>
          <w:color w:val="auto"/>
          <w:sz w:val="23"/>
          <w:szCs w:val="23"/>
        </w:rPr>
        <w:t xml:space="preserve">urther information can be found on the NRA Website or by contacting </w:t>
      </w:r>
      <w:r w:rsidR="007F63D9">
        <w:rPr>
          <w:rFonts w:ascii="Arial" w:hAnsi="Arial" w:cs="Arial"/>
          <w:b/>
          <w:color w:val="auto"/>
          <w:sz w:val="23"/>
          <w:szCs w:val="23"/>
        </w:rPr>
        <w:t>James Hallam Ltd</w:t>
      </w:r>
      <w:r w:rsidR="00BB79C0" w:rsidRPr="0036501B">
        <w:rPr>
          <w:rFonts w:ascii="Arial" w:hAnsi="Arial" w:cs="Arial"/>
          <w:b/>
          <w:color w:val="auto"/>
          <w:sz w:val="23"/>
          <w:szCs w:val="23"/>
        </w:rPr>
        <w:t xml:space="preserve"> on 0333 577 8232 or</w:t>
      </w:r>
      <w:r w:rsidR="00715540" w:rsidRPr="0036501B">
        <w:rPr>
          <w:rFonts w:ascii="Arial" w:hAnsi="Arial" w:cs="Arial"/>
          <w:b/>
          <w:color w:val="auto"/>
          <w:sz w:val="23"/>
          <w:szCs w:val="23"/>
        </w:rPr>
        <w:t xml:space="preserve"> email </w:t>
      </w:r>
      <w:hyperlink r:id="rId11" w:history="1">
        <w:r w:rsidR="007F63D9" w:rsidRPr="0016363C">
          <w:rPr>
            <w:rStyle w:val="Hyperlink"/>
            <w:rFonts w:ascii="Arial" w:hAnsi="Arial" w:cs="Arial"/>
            <w:b/>
            <w:sz w:val="23"/>
            <w:szCs w:val="23"/>
          </w:rPr>
          <w:t>nra@jameshallam.co.uk</w:t>
        </w:r>
      </w:hyperlink>
    </w:p>
    <w:p w14:paraId="5187CEDA" w14:textId="01A93FF2" w:rsidR="007F63D9" w:rsidRPr="0036501B" w:rsidRDefault="007F63D9" w:rsidP="0036501B">
      <w:pPr>
        <w:pStyle w:val="Default"/>
        <w:jc w:val="center"/>
        <w:rPr>
          <w:rFonts w:ascii="Arial" w:hAnsi="Arial" w:cs="Arial"/>
          <w:b/>
          <w:color w:val="auto"/>
          <w:sz w:val="23"/>
          <w:szCs w:val="23"/>
        </w:rPr>
      </w:pPr>
      <w:r w:rsidRPr="007F63D9">
        <w:rPr>
          <w:rFonts w:ascii="Arial" w:hAnsi="Arial" w:cs="Arial"/>
          <w:b/>
          <w:color w:val="auto"/>
          <w:sz w:val="23"/>
          <w:szCs w:val="23"/>
        </w:rPr>
        <w:t>**FOR FULL TERMS AND CONDITIONS, PLEASE REFER TO THE POLICY WORDINGS**</w:t>
      </w:r>
    </w:p>
    <w:sectPr w:rsidR="007F63D9" w:rsidRPr="0036501B" w:rsidSect="009F3BED">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7BCD" w14:textId="77777777" w:rsidR="00CA3B0B" w:rsidRDefault="00CA3B0B" w:rsidP="00B96637">
      <w:pPr>
        <w:spacing w:after="0" w:line="240" w:lineRule="auto"/>
      </w:pPr>
      <w:r>
        <w:separator/>
      </w:r>
    </w:p>
  </w:endnote>
  <w:endnote w:type="continuationSeparator" w:id="0">
    <w:p w14:paraId="1D5B89CC" w14:textId="77777777" w:rsidR="00CA3B0B" w:rsidRDefault="00CA3B0B" w:rsidP="00B9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533F" w14:textId="77777777" w:rsidR="008E2752" w:rsidRDefault="008E2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1188" w14:textId="146647AD" w:rsidR="00264D39" w:rsidRPr="00A26F63" w:rsidRDefault="00264D39" w:rsidP="00264D39">
    <w:pPr>
      <w:pStyle w:val="Footer"/>
      <w:rPr>
        <w:sz w:val="18"/>
        <w:szCs w:val="18"/>
      </w:rPr>
    </w:pPr>
    <w:r w:rsidRPr="00A26F63">
      <w:rPr>
        <w:rFonts w:cs="Arial"/>
        <w:sz w:val="18"/>
        <w:szCs w:val="18"/>
        <w:lang w:val="en-US"/>
      </w:rPr>
      <w:t xml:space="preserve">James Hallam Limited who are </w:t>
    </w:r>
    <w:proofErr w:type="spellStart"/>
    <w:r w:rsidRPr="00A26F63">
      <w:rPr>
        <w:rFonts w:cs="Arial"/>
        <w:sz w:val="18"/>
        <w:szCs w:val="18"/>
        <w:lang w:val="en-US"/>
      </w:rPr>
      <w:t>authorised</w:t>
    </w:r>
    <w:proofErr w:type="spellEnd"/>
    <w:r w:rsidRPr="00A26F63">
      <w:rPr>
        <w:rFonts w:cs="Arial"/>
        <w:sz w:val="18"/>
        <w:szCs w:val="18"/>
        <w:lang w:val="en-US"/>
      </w:rPr>
      <w:t xml:space="preserve"> and regulated by the Financial Conduct Authority. Registered number 1632840. Registered Office – 156 South Street, Dorking, Surrey RH4 </w:t>
    </w:r>
  </w:p>
  <w:p w14:paraId="598F8B80" w14:textId="77777777" w:rsidR="00264D39" w:rsidRDefault="00264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5044" w14:textId="77777777" w:rsidR="008E2752" w:rsidRDefault="008E2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E5EC" w14:textId="77777777" w:rsidR="00CA3B0B" w:rsidRDefault="00CA3B0B" w:rsidP="00B96637">
      <w:pPr>
        <w:spacing w:after="0" w:line="240" w:lineRule="auto"/>
      </w:pPr>
      <w:r>
        <w:separator/>
      </w:r>
    </w:p>
  </w:footnote>
  <w:footnote w:type="continuationSeparator" w:id="0">
    <w:p w14:paraId="70C878AA" w14:textId="77777777" w:rsidR="00CA3B0B" w:rsidRDefault="00CA3B0B" w:rsidP="00B9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90CB" w14:textId="77777777" w:rsidR="008E2752" w:rsidRDefault="008E2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9F11" w14:textId="464AA3C3" w:rsidR="00C13CAF" w:rsidRDefault="008E2752" w:rsidP="00C13CAF">
    <w:pPr>
      <w:pStyle w:val="Header"/>
      <w:jc w:val="right"/>
    </w:pPr>
    <w:r>
      <w:rPr>
        <w:noProof/>
        <w:lang w:eastAsia="en-GB"/>
      </w:rPr>
      <w:drawing>
        <wp:anchor distT="0" distB="0" distL="114300" distR="114300" simplePos="0" relativeHeight="251658240" behindDoc="0" locked="0" layoutInCell="1" allowOverlap="1" wp14:anchorId="38794B07" wp14:editId="67CF2BF4">
          <wp:simplePos x="0" y="0"/>
          <wp:positionH relativeFrom="column">
            <wp:posOffset>3796665</wp:posOffset>
          </wp:positionH>
          <wp:positionV relativeFrom="page">
            <wp:posOffset>107950</wp:posOffset>
          </wp:positionV>
          <wp:extent cx="2893060" cy="1043940"/>
          <wp:effectExtent l="0" t="0" r="0" b="0"/>
          <wp:wrapNone/>
          <wp:docPr id="191561700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17009" name="Picture 1"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l="8497" t="18441" r="8170" b="18721"/>
                  <a:stretch/>
                </pic:blipFill>
                <pic:spPr bwMode="auto">
                  <a:xfrm>
                    <a:off x="0" y="0"/>
                    <a:ext cx="2893060" cy="1043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6629">
      <w:rPr>
        <w:noProof/>
        <w:lang w:eastAsia="en-GB"/>
      </w:rPr>
      <w:drawing>
        <wp:anchor distT="0" distB="0" distL="114300" distR="114300" simplePos="0" relativeHeight="251656192" behindDoc="0" locked="0" layoutInCell="1" allowOverlap="1" wp14:anchorId="4AAC5FFB" wp14:editId="483EAE32">
          <wp:simplePos x="0" y="0"/>
          <wp:positionH relativeFrom="column">
            <wp:posOffset>0</wp:posOffset>
          </wp:positionH>
          <wp:positionV relativeFrom="paragraph">
            <wp:posOffset>-246380</wp:posOffset>
          </wp:positionV>
          <wp:extent cx="695325" cy="6953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amp;Ben_2013_COLOUR_FINAL.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EA5B9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9E00" w14:textId="77777777" w:rsidR="008E2752" w:rsidRDefault="008E2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83F"/>
    <w:multiLevelType w:val="hybridMultilevel"/>
    <w:tmpl w:val="12DC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6CB0"/>
    <w:multiLevelType w:val="hybridMultilevel"/>
    <w:tmpl w:val="6FD0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86DC5"/>
    <w:multiLevelType w:val="hybridMultilevel"/>
    <w:tmpl w:val="FDC8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F6D6C"/>
    <w:multiLevelType w:val="hybridMultilevel"/>
    <w:tmpl w:val="3C2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40FCF"/>
    <w:multiLevelType w:val="hybridMultilevel"/>
    <w:tmpl w:val="577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992848">
    <w:abstractNumId w:val="1"/>
  </w:num>
  <w:num w:numId="2" w16cid:durableId="840508106">
    <w:abstractNumId w:val="4"/>
  </w:num>
  <w:num w:numId="3" w16cid:durableId="662469638">
    <w:abstractNumId w:val="3"/>
  </w:num>
  <w:num w:numId="4" w16cid:durableId="1454399192">
    <w:abstractNumId w:val="0"/>
  </w:num>
  <w:num w:numId="5" w16cid:durableId="19543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A6"/>
    <w:rsid w:val="00013787"/>
    <w:rsid w:val="00025588"/>
    <w:rsid w:val="00033AC8"/>
    <w:rsid w:val="0008286E"/>
    <w:rsid w:val="00085519"/>
    <w:rsid w:val="000B3C7C"/>
    <w:rsid w:val="000C361A"/>
    <w:rsid w:val="0012031D"/>
    <w:rsid w:val="001A0352"/>
    <w:rsid w:val="002408FE"/>
    <w:rsid w:val="002548EB"/>
    <w:rsid w:val="00264D39"/>
    <w:rsid w:val="002A4767"/>
    <w:rsid w:val="003102F7"/>
    <w:rsid w:val="0036501B"/>
    <w:rsid w:val="003B51A6"/>
    <w:rsid w:val="003C134B"/>
    <w:rsid w:val="003C30BB"/>
    <w:rsid w:val="00406670"/>
    <w:rsid w:val="004103DF"/>
    <w:rsid w:val="004561C8"/>
    <w:rsid w:val="0047013C"/>
    <w:rsid w:val="004D012B"/>
    <w:rsid w:val="004D1C4B"/>
    <w:rsid w:val="004E30CB"/>
    <w:rsid w:val="004E3D60"/>
    <w:rsid w:val="004F47DF"/>
    <w:rsid w:val="00523936"/>
    <w:rsid w:val="00527608"/>
    <w:rsid w:val="00527F00"/>
    <w:rsid w:val="005816DA"/>
    <w:rsid w:val="005901EA"/>
    <w:rsid w:val="00595936"/>
    <w:rsid w:val="005B6629"/>
    <w:rsid w:val="005C05AA"/>
    <w:rsid w:val="005D359A"/>
    <w:rsid w:val="005D42E1"/>
    <w:rsid w:val="005D4EB9"/>
    <w:rsid w:val="005E1009"/>
    <w:rsid w:val="005E2EFC"/>
    <w:rsid w:val="005E358C"/>
    <w:rsid w:val="00600152"/>
    <w:rsid w:val="006B3ED7"/>
    <w:rsid w:val="006D01DB"/>
    <w:rsid w:val="006E187D"/>
    <w:rsid w:val="00715540"/>
    <w:rsid w:val="007F63D9"/>
    <w:rsid w:val="00870FBE"/>
    <w:rsid w:val="008E2752"/>
    <w:rsid w:val="008E38C9"/>
    <w:rsid w:val="00937389"/>
    <w:rsid w:val="00941ECE"/>
    <w:rsid w:val="00955188"/>
    <w:rsid w:val="0095658E"/>
    <w:rsid w:val="009F3BED"/>
    <w:rsid w:val="00A04573"/>
    <w:rsid w:val="00A126F0"/>
    <w:rsid w:val="00A3386B"/>
    <w:rsid w:val="00A44900"/>
    <w:rsid w:val="00AC7E18"/>
    <w:rsid w:val="00B550FD"/>
    <w:rsid w:val="00B74728"/>
    <w:rsid w:val="00B85036"/>
    <w:rsid w:val="00B965FD"/>
    <w:rsid w:val="00B96637"/>
    <w:rsid w:val="00BA7B0A"/>
    <w:rsid w:val="00BB79C0"/>
    <w:rsid w:val="00C13CAF"/>
    <w:rsid w:val="00C23204"/>
    <w:rsid w:val="00C2379A"/>
    <w:rsid w:val="00C40F81"/>
    <w:rsid w:val="00C44291"/>
    <w:rsid w:val="00CA24CE"/>
    <w:rsid w:val="00CA3B0B"/>
    <w:rsid w:val="00D63B99"/>
    <w:rsid w:val="00D7410C"/>
    <w:rsid w:val="00D92242"/>
    <w:rsid w:val="00DF41B0"/>
    <w:rsid w:val="00E230DE"/>
    <w:rsid w:val="00E47704"/>
    <w:rsid w:val="00E51A7C"/>
    <w:rsid w:val="00E563AD"/>
    <w:rsid w:val="00EA5B96"/>
    <w:rsid w:val="00EE0330"/>
    <w:rsid w:val="00F24875"/>
    <w:rsid w:val="00F815A6"/>
    <w:rsid w:val="00FA5942"/>
    <w:rsid w:val="00FB0081"/>
    <w:rsid w:val="00FB344A"/>
    <w:rsid w:val="00FF2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9E7D6"/>
  <w15:docId w15:val="{2366B5B4-F5E5-4F39-99EE-0783FE03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5A6"/>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ListParagraph">
    <w:name w:val="List Paragraph"/>
    <w:basedOn w:val="Normal"/>
    <w:uiPriority w:val="34"/>
    <w:qFormat/>
    <w:rsid w:val="00B96637"/>
    <w:pPr>
      <w:ind w:left="720"/>
      <w:contextualSpacing/>
    </w:pPr>
  </w:style>
  <w:style w:type="paragraph" w:styleId="Header">
    <w:name w:val="header"/>
    <w:basedOn w:val="Normal"/>
    <w:link w:val="HeaderChar"/>
    <w:uiPriority w:val="99"/>
    <w:unhideWhenUsed/>
    <w:rsid w:val="00B96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637"/>
  </w:style>
  <w:style w:type="paragraph" w:styleId="Footer">
    <w:name w:val="footer"/>
    <w:basedOn w:val="Normal"/>
    <w:link w:val="FooterChar"/>
    <w:uiPriority w:val="99"/>
    <w:unhideWhenUsed/>
    <w:rsid w:val="00B96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637"/>
  </w:style>
  <w:style w:type="paragraph" w:styleId="BalloonText">
    <w:name w:val="Balloon Text"/>
    <w:basedOn w:val="Normal"/>
    <w:link w:val="BalloonTextChar"/>
    <w:uiPriority w:val="99"/>
    <w:semiHidden/>
    <w:unhideWhenUsed/>
    <w:rsid w:val="00B9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37"/>
    <w:rPr>
      <w:rFonts w:ascii="Tahoma" w:hAnsi="Tahoma" w:cs="Tahoma"/>
      <w:sz w:val="16"/>
      <w:szCs w:val="16"/>
    </w:rPr>
  </w:style>
  <w:style w:type="character" w:styleId="Hyperlink">
    <w:name w:val="Hyperlink"/>
    <w:basedOn w:val="DefaultParagraphFont"/>
    <w:uiPriority w:val="99"/>
    <w:unhideWhenUsed/>
    <w:rsid w:val="003C134B"/>
    <w:rPr>
      <w:color w:val="0000FF" w:themeColor="hyperlink"/>
      <w:u w:val="single"/>
    </w:rPr>
  </w:style>
  <w:style w:type="table" w:styleId="TableGrid">
    <w:name w:val="Table Grid"/>
    <w:basedOn w:val="TableNormal"/>
    <w:uiPriority w:val="59"/>
    <w:rsid w:val="00581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F41B0"/>
    <w:pPr>
      <w:autoSpaceDE w:val="0"/>
      <w:autoSpaceDN w:val="0"/>
      <w:adjustRightInd w:val="0"/>
      <w:spacing w:after="0" w:line="240" w:lineRule="auto"/>
    </w:pPr>
    <w:rPr>
      <w:rFonts w:eastAsia="Times New Roman" w:cs="Arial"/>
      <w:lang w:val="en-US"/>
    </w:rPr>
  </w:style>
  <w:style w:type="character" w:styleId="UnresolvedMention">
    <w:name w:val="Unresolved Mention"/>
    <w:basedOn w:val="DefaultParagraphFont"/>
    <w:uiPriority w:val="99"/>
    <w:semiHidden/>
    <w:unhideWhenUsed/>
    <w:rsid w:val="007F6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ra@jameshallam.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BEC3A969081429FF32714B49A7B00" ma:contentTypeVersion="12" ma:contentTypeDescription="Create a new document." ma:contentTypeScope="" ma:versionID="5dfe28a27e9b2a961266e5c0ee608e43">
  <xsd:schema xmlns:xsd="http://www.w3.org/2001/XMLSchema" xmlns:xs="http://www.w3.org/2001/XMLSchema" xmlns:p="http://schemas.microsoft.com/office/2006/metadata/properties" xmlns:ns2="64e2485a-34c6-4d67-be5f-a727e3ae3a36" xmlns:ns3="1f271bba-7778-4adf-a932-9936bc7dc706" targetNamespace="http://schemas.microsoft.com/office/2006/metadata/properties" ma:root="true" ma:fieldsID="2d4bbfa60ae96454aba15677c276486a" ns2:_="" ns3:_="">
    <xsd:import namespace="64e2485a-34c6-4d67-be5f-a727e3ae3a36"/>
    <xsd:import namespace="1f271bba-7778-4adf-a932-9936bc7dc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2485a-34c6-4d67-be5f-a727e3ae3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1a78f6-9703-4873-a47a-fcc2c51d55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71bba-7778-4adf-a932-9936bc7dc7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43cfd-816d-4c07-b8f1-016f71b740ae}" ma:internalName="TaxCatchAll" ma:showField="CatchAllData" ma:web="1f271bba-7778-4adf-a932-9936bc7dc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271bba-7778-4adf-a932-9936bc7dc706" xsi:nil="true"/>
    <lcf76f155ced4ddcb4097134ff3c332f xmlns="64e2485a-34c6-4d67-be5f-a727e3ae3a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A35CC-A98F-4E09-A4EB-28593AF66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2485a-34c6-4d67-be5f-a727e3ae3a36"/>
    <ds:schemaRef ds:uri="1f271bba-7778-4adf-a932-9936bc7dc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B5AAA-497C-4CDB-AD44-CF839C58C010}">
  <ds:schemaRefs>
    <ds:schemaRef ds:uri="http://schemas.microsoft.com/office/2006/metadata/properties"/>
    <ds:schemaRef ds:uri="http://schemas.microsoft.com/office/infopath/2007/PartnerControls"/>
    <ds:schemaRef ds:uri="1f271bba-7778-4adf-a932-9936bc7dc706"/>
    <ds:schemaRef ds:uri="64e2485a-34c6-4d67-be5f-a727e3ae3a36"/>
  </ds:schemaRefs>
</ds:datastoreItem>
</file>

<file path=customXml/itemProps3.xml><?xml version="1.0" encoding="utf-8"?>
<ds:datastoreItem xmlns:ds="http://schemas.openxmlformats.org/officeDocument/2006/customXml" ds:itemID="{996B002F-A1E8-46BE-954E-9A32541CE678}">
  <ds:schemaRefs>
    <ds:schemaRef ds:uri="http://schemas.microsoft.com/sharepoint/v3/contenttype/forms"/>
  </ds:schemaRefs>
</ds:datastoreItem>
</file>

<file path=customXml/itemProps4.xml><?xml version="1.0" encoding="utf-8"?>
<ds:datastoreItem xmlns:ds="http://schemas.openxmlformats.org/officeDocument/2006/customXml" ds:itemID="{F3BA5032-740D-4734-A513-75EAA441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Endsleigh Insurance Services KMS</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Endsleigh Insurance Services</dc:creator>
  <cp:lastModifiedBy>Andy Hearn</cp:lastModifiedBy>
  <cp:revision>5</cp:revision>
  <cp:lastPrinted>2021-09-29T08:25:00Z</cp:lastPrinted>
  <dcterms:created xsi:type="dcterms:W3CDTF">2024-11-27T12:48:00Z</dcterms:created>
  <dcterms:modified xsi:type="dcterms:W3CDTF">2025-08-21T13:50:00Z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0x010100278BEC3A969081429FF32714B49A7B00</vt:lpwstr>
  </property>
  <property fmtid="{D5CDD505-2E9C-101B-9397-08002B2CF9AE}" pid="3" name="MediaServiceImageTags">
    <vt:lpwstr/>
  </property>
</Properties>
</file>